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53C7" w14:textId="77777777" w:rsidR="0028243F" w:rsidRDefault="0028243F" w:rsidP="003855F8">
      <w:pPr>
        <w:pStyle w:val="Heading1"/>
      </w:pPr>
    </w:p>
    <w:p w14:paraId="1B2292A0" w14:textId="56282562" w:rsidR="009E7381" w:rsidRDefault="00783D46" w:rsidP="003855F8">
      <w:pPr>
        <w:pStyle w:val="Heading1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354B8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Group Manager (</w:t>
      </w:r>
      <w:r w:rsidR="00EB76C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Software</w:t>
      </w:r>
      <w:r w:rsidR="00354B87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)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E57FE" w:rsidRPr="00094C97" w14:paraId="387EF6C4" w14:textId="77777777" w:rsidTr="00B570E3">
        <w:tc>
          <w:tcPr>
            <w:tcW w:w="9854" w:type="dxa"/>
            <w:shd w:val="clear" w:color="auto" w:fill="F2F2F2" w:themeFill="background1" w:themeFillShade="F2"/>
          </w:tcPr>
          <w:p w14:paraId="747B47D0" w14:textId="77777777" w:rsidR="00DE57FE" w:rsidRPr="00094C97" w:rsidRDefault="00DE57FE" w:rsidP="00DE57FE">
            <w:pPr>
              <w:spacing w:line="276" w:lineRule="auto"/>
              <w:outlineLvl w:val="1"/>
              <w:rPr>
                <w:rFonts w:ascii="Epilogue" w:eastAsiaTheme="majorEastAsia" w:hAnsi="Epilogue" w:cs="Calibri"/>
                <w:b/>
                <w:bCs/>
                <w:szCs w:val="20"/>
              </w:rPr>
            </w:pPr>
            <w:r w:rsidRPr="00094C97">
              <w:rPr>
                <w:rFonts w:ascii="Epilogue" w:eastAsiaTheme="majorEastAsia" w:hAnsi="Epilogue" w:cs="Calibri"/>
                <w:b/>
                <w:bCs/>
                <w:color w:val="005172" w:themeColor="accent2"/>
                <w:szCs w:val="20"/>
              </w:rPr>
              <w:t>Main purpose</w:t>
            </w:r>
          </w:p>
        </w:tc>
      </w:tr>
      <w:tr w:rsidR="00DE57FE" w:rsidRPr="00094C97" w14:paraId="09DFE8C4" w14:textId="77777777" w:rsidTr="00B570E3">
        <w:sdt>
          <w:sdtPr>
            <w:rPr>
              <w:rFonts w:ascii="Epilogue" w:hAnsi="Epilogue" w:cs="Calibri"/>
              <w:szCs w:val="20"/>
            </w:rPr>
            <w:id w:val="-1849084309"/>
            <w:placeholder>
              <w:docPart w:val="1E20615CC2604B5B94978EE26AB15BB8"/>
            </w:placeholder>
          </w:sdtPr>
          <w:sdtEndPr/>
          <w:sdtContent>
            <w:tc>
              <w:tcPr>
                <w:tcW w:w="9854" w:type="dxa"/>
              </w:tcPr>
              <w:p w14:paraId="674EE51E" w14:textId="077EDC83" w:rsidR="007D0D6C" w:rsidRPr="00094C97" w:rsidRDefault="00354B87" w:rsidP="00354B87">
                <w:pPr>
                  <w:rPr>
                    <w:rFonts w:ascii="Epilogue" w:hAnsi="Epilogue" w:cs="Calibri"/>
                    <w:szCs w:val="20"/>
                  </w:rPr>
                </w:pPr>
                <w:r w:rsidRPr="00094C97">
                  <w:rPr>
                    <w:rFonts w:ascii="Epilogue" w:hAnsi="Epilogue" w:cs="Calibri"/>
                    <w:szCs w:val="20"/>
                  </w:rPr>
                  <w:t xml:space="preserve">This role will have overarching responsibility for the </w:t>
                </w:r>
                <w:r w:rsidR="006F718E" w:rsidRPr="00094C97">
                  <w:rPr>
                    <w:rFonts w:ascii="Epilogue" w:hAnsi="Epilogue" w:cs="Calibri"/>
                    <w:szCs w:val="20"/>
                  </w:rPr>
                  <w:t xml:space="preserve">newly formed HR Wallingford Software Group and the </w:t>
                </w:r>
                <w:r w:rsidR="00EB76CA" w:rsidRPr="00094C97">
                  <w:rPr>
                    <w:rFonts w:ascii="Epilogue" w:hAnsi="Epilogue" w:cs="Calibri"/>
                    <w:szCs w:val="20"/>
                  </w:rPr>
                  <w:t xml:space="preserve">software </w:t>
                </w:r>
                <w:r w:rsidRPr="00094C97">
                  <w:rPr>
                    <w:rFonts w:ascii="Epilogue" w:hAnsi="Epilogue" w:cs="Calibri"/>
                    <w:szCs w:val="20"/>
                  </w:rPr>
                  <w:t xml:space="preserve">teams based in </w:t>
                </w:r>
                <w:r w:rsidR="00EB76CA" w:rsidRPr="00094C97">
                  <w:rPr>
                    <w:rFonts w:ascii="Epilogue" w:hAnsi="Epilogue" w:cs="Calibri"/>
                    <w:szCs w:val="20"/>
                  </w:rPr>
                  <w:t>in the UK, Italy and Malaysia</w:t>
                </w:r>
                <w:r w:rsidR="007D0D6C" w:rsidRPr="00094C97">
                  <w:rPr>
                    <w:rFonts w:ascii="Epilogue" w:hAnsi="Epilogue" w:cs="Calibri"/>
                    <w:szCs w:val="20"/>
                  </w:rPr>
                  <w:t xml:space="preserve">. </w:t>
                </w:r>
                <w:r w:rsidR="00B62BBB">
                  <w:rPr>
                    <w:rFonts w:ascii="Epilogue" w:hAnsi="Epilogue" w:cs="Calibri"/>
                    <w:szCs w:val="20"/>
                  </w:rPr>
                  <w:t xml:space="preserve">  Given this is a global operation, a significant amount of international travel is anticipated </w:t>
                </w:r>
                <w:r w:rsidR="00894132">
                  <w:rPr>
                    <w:rFonts w:ascii="Epilogue" w:hAnsi="Epilogue" w:cs="Calibri"/>
                    <w:szCs w:val="20"/>
                  </w:rPr>
                  <w:t xml:space="preserve">to support </w:t>
                </w:r>
                <w:r w:rsidR="00B62BBB">
                  <w:rPr>
                    <w:rFonts w:ascii="Epilogue" w:hAnsi="Epilogue" w:cs="Calibri"/>
                    <w:szCs w:val="20"/>
                  </w:rPr>
                  <w:t>the role.</w:t>
                </w:r>
              </w:p>
              <w:p w14:paraId="3DDBC30D" w14:textId="77777777" w:rsidR="007D0D6C" w:rsidRPr="00094C97" w:rsidRDefault="007D0D6C" w:rsidP="00354B87">
                <w:pPr>
                  <w:rPr>
                    <w:rFonts w:ascii="Epilogue" w:hAnsi="Epilogue" w:cs="Calibri"/>
                    <w:szCs w:val="20"/>
                  </w:rPr>
                </w:pPr>
              </w:p>
              <w:p w14:paraId="4C78372D" w14:textId="0BE76DA0" w:rsidR="00354B87" w:rsidRPr="00094C97" w:rsidRDefault="00354B87" w:rsidP="00354B87">
                <w:pPr>
                  <w:rPr>
                    <w:rFonts w:ascii="Epilogue" w:hAnsi="Epilogue" w:cs="Arial"/>
                    <w:szCs w:val="20"/>
                  </w:rPr>
                </w:pPr>
                <w:r w:rsidRPr="00094C97">
                  <w:rPr>
                    <w:rFonts w:ascii="Epilogue" w:hAnsi="Epilogue" w:cs="Calibri"/>
                    <w:szCs w:val="20"/>
                  </w:rPr>
                  <w:t xml:space="preserve">Responsible for P&amp;L of the </w:t>
                </w:r>
                <w:r w:rsidR="00CE0ADD">
                  <w:rPr>
                    <w:rFonts w:ascii="Epilogue" w:hAnsi="Epilogue" w:cs="Calibri"/>
                    <w:szCs w:val="20"/>
                  </w:rPr>
                  <w:t>s</w:t>
                </w:r>
                <w:r w:rsidR="00EB76CA" w:rsidRPr="00094C97">
                  <w:rPr>
                    <w:rFonts w:ascii="Epilogue" w:hAnsi="Epilogue" w:cs="Calibri"/>
                    <w:szCs w:val="20"/>
                  </w:rPr>
                  <w:t xml:space="preserve">oftware </w:t>
                </w:r>
                <w:r w:rsidR="00CE0ADD">
                  <w:rPr>
                    <w:rFonts w:ascii="Epilogue" w:hAnsi="Epilogue" w:cs="Calibri"/>
                    <w:szCs w:val="20"/>
                  </w:rPr>
                  <w:t>t</w:t>
                </w:r>
                <w:r w:rsidRPr="00094C97">
                  <w:rPr>
                    <w:rFonts w:ascii="Epilogue" w:hAnsi="Epilogue" w:cs="Calibri"/>
                    <w:szCs w:val="20"/>
                  </w:rPr>
                  <w:t>rading group</w:t>
                </w:r>
                <w:r w:rsidRPr="00094C97">
                  <w:rPr>
                    <w:rFonts w:ascii="Epilogue" w:hAnsi="Epilogue" w:cs="Arial"/>
                    <w:szCs w:val="20"/>
                  </w:rPr>
                  <w:t xml:space="preserve"> and for future expansion of our </w:t>
                </w:r>
                <w:r w:rsidR="00EB76CA" w:rsidRPr="00094C97">
                  <w:rPr>
                    <w:rFonts w:ascii="Epilogue" w:hAnsi="Epilogue" w:cs="Arial"/>
                    <w:szCs w:val="20"/>
                  </w:rPr>
                  <w:t xml:space="preserve">software </w:t>
                </w:r>
                <w:r w:rsidRPr="00094C97">
                  <w:rPr>
                    <w:rFonts w:ascii="Epilogue" w:hAnsi="Epilogue" w:cs="Arial"/>
                    <w:szCs w:val="20"/>
                  </w:rPr>
                  <w:t xml:space="preserve">business to allow it to foster, develop and capitalise new, innovative </w:t>
                </w:r>
                <w:r w:rsidR="006F718E" w:rsidRPr="00094C97">
                  <w:rPr>
                    <w:rFonts w:ascii="Epilogue" w:hAnsi="Epilogue" w:cs="Arial"/>
                    <w:szCs w:val="20"/>
                  </w:rPr>
                  <w:t xml:space="preserve">software tools and </w:t>
                </w:r>
                <w:r w:rsidRPr="00094C97">
                  <w:rPr>
                    <w:rFonts w:ascii="Epilogue" w:hAnsi="Epilogue" w:cs="Arial"/>
                    <w:szCs w:val="20"/>
                  </w:rPr>
                  <w:t>technologies within the framework of the Company’s Strateg</w:t>
                </w:r>
                <w:r w:rsidR="00D11DC1" w:rsidRPr="00094C97">
                  <w:rPr>
                    <w:rFonts w:ascii="Epilogue" w:hAnsi="Epilogue" w:cs="Arial"/>
                    <w:szCs w:val="20"/>
                  </w:rPr>
                  <w:t>y.</w:t>
                </w:r>
              </w:p>
              <w:p w14:paraId="7247614C" w14:textId="77777777" w:rsidR="00354B87" w:rsidRPr="00094C97" w:rsidRDefault="00354B87" w:rsidP="00354B87">
                <w:pPr>
                  <w:rPr>
                    <w:rFonts w:ascii="Epilogue" w:hAnsi="Epilogue" w:cs="Arial"/>
                    <w:szCs w:val="20"/>
                  </w:rPr>
                </w:pPr>
              </w:p>
              <w:p w14:paraId="7E2A5F60" w14:textId="447CA43F" w:rsidR="00EA5414" w:rsidRPr="00F43662" w:rsidRDefault="00354B87" w:rsidP="00354B87">
                <w:pPr>
                  <w:spacing w:after="200"/>
                  <w:rPr>
                    <w:rFonts w:ascii="Epilogue" w:hAnsi="Epilogue" w:cs="Arial"/>
                    <w:szCs w:val="20"/>
                  </w:rPr>
                </w:pPr>
                <w:r w:rsidRPr="00094C97">
                  <w:rPr>
                    <w:rFonts w:ascii="Epilogue" w:hAnsi="Epilogue" w:cs="Arial"/>
                    <w:szCs w:val="20"/>
                  </w:rPr>
                  <w:t xml:space="preserve">Responsible for staff </w:t>
                </w:r>
                <w:r w:rsidRPr="00F43662">
                  <w:rPr>
                    <w:rFonts w:ascii="Epilogue" w:hAnsi="Epilogue" w:cs="Arial"/>
                    <w:szCs w:val="20"/>
                  </w:rPr>
                  <w:t xml:space="preserve">and </w:t>
                </w:r>
                <w:r w:rsidR="00F43662" w:rsidRPr="00F43662">
                  <w:rPr>
                    <w:rFonts w:ascii="Epilogue" w:hAnsi="Epilogue" w:cs="Arial"/>
                    <w:szCs w:val="20"/>
                  </w:rPr>
                  <w:t>s</w:t>
                </w:r>
                <w:r w:rsidR="00F43662" w:rsidRPr="00F43662">
                  <w:rPr>
                    <w:rFonts w:ascii="Epilogue" w:hAnsi="Epilogue" w:cs="Arial"/>
                  </w:rPr>
                  <w:t xml:space="preserve">oftware development related </w:t>
                </w:r>
                <w:r w:rsidRPr="00F43662">
                  <w:rPr>
                    <w:rFonts w:ascii="Epilogue" w:hAnsi="Epilogue" w:cs="Arial"/>
                    <w:szCs w:val="20"/>
                  </w:rPr>
                  <w:t xml:space="preserve">facilities and for enhancing and modernising the </w:t>
                </w:r>
                <w:r w:rsidR="006F718E" w:rsidRPr="00F43662">
                  <w:rPr>
                    <w:rFonts w:ascii="Epilogue" w:hAnsi="Epilogue" w:cs="Arial"/>
                    <w:szCs w:val="20"/>
                  </w:rPr>
                  <w:t xml:space="preserve">software development </w:t>
                </w:r>
                <w:r w:rsidRPr="00F43662">
                  <w:rPr>
                    <w:rFonts w:ascii="Epilogue" w:hAnsi="Epilogue" w:cs="Arial"/>
                    <w:szCs w:val="20"/>
                  </w:rPr>
                  <w:t xml:space="preserve">techniques employed, </w:t>
                </w:r>
                <w:r w:rsidR="00F43662">
                  <w:rPr>
                    <w:rFonts w:ascii="Epilogue" w:hAnsi="Epilogue" w:cs="Arial"/>
                    <w:szCs w:val="20"/>
                  </w:rPr>
                  <w:t>w</w:t>
                </w:r>
                <w:r w:rsidR="00F43662">
                  <w:rPr>
                    <w:rFonts w:cs="Arial"/>
                  </w:rPr>
                  <w:t xml:space="preserve">ith </w:t>
                </w:r>
                <w:r w:rsidRPr="00F43662">
                  <w:rPr>
                    <w:rFonts w:ascii="Epilogue" w:hAnsi="Epilogue" w:cs="Arial"/>
                    <w:szCs w:val="20"/>
                  </w:rPr>
                  <w:t xml:space="preserve">increasing focus on </w:t>
                </w:r>
                <w:r w:rsidR="00EB76CA" w:rsidRPr="00F43662">
                  <w:rPr>
                    <w:rFonts w:ascii="Epilogue" w:hAnsi="Epilogue" w:cs="Arial"/>
                    <w:szCs w:val="20"/>
                  </w:rPr>
                  <w:t xml:space="preserve">software </w:t>
                </w:r>
                <w:r w:rsidRPr="00F43662">
                  <w:rPr>
                    <w:rFonts w:ascii="Epilogue" w:hAnsi="Epilogue" w:cs="Arial"/>
                    <w:szCs w:val="20"/>
                  </w:rPr>
                  <w:t>innovation across the entire water sector.</w:t>
                </w:r>
              </w:p>
              <w:p w14:paraId="3A99D9A4" w14:textId="069F71E6" w:rsidR="00EA5414" w:rsidRPr="00094C97" w:rsidRDefault="00EA5414" w:rsidP="00EA5414">
                <w:pPr>
                  <w:pStyle w:val="CommentText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  <w:b/>
                    <w:bCs/>
                  </w:rPr>
                  <w:t xml:space="preserve">Responsible for operational delivery of </w:t>
                </w:r>
                <w:r w:rsidR="00EB76CA" w:rsidRPr="00094C97">
                  <w:rPr>
                    <w:rFonts w:ascii="Epilogue" w:hAnsi="Epilogue" w:cs="Calibri"/>
                    <w:b/>
                    <w:bCs/>
                  </w:rPr>
                  <w:t xml:space="preserve">software </w:t>
                </w:r>
                <w:r w:rsidRPr="00094C97">
                  <w:rPr>
                    <w:rFonts w:ascii="Epilogue" w:hAnsi="Epilogue"/>
                    <w:b/>
                    <w:bCs/>
                  </w:rPr>
                  <w:t>products</w:t>
                </w:r>
                <w:r w:rsidR="00EB76CA" w:rsidRPr="00094C97">
                  <w:rPr>
                    <w:rFonts w:ascii="Epilogue" w:hAnsi="Epilogue"/>
                    <w:b/>
                    <w:bCs/>
                  </w:rPr>
                  <w:t xml:space="preserve"> and developments</w:t>
                </w:r>
                <w:r w:rsidRPr="00094C97">
                  <w:rPr>
                    <w:rFonts w:ascii="Epilogue" w:hAnsi="Epilogue" w:cs="Calibri"/>
                    <w:b/>
                    <w:bCs/>
                  </w:rPr>
                  <w:t>; including</w:t>
                </w:r>
              </w:p>
              <w:p w14:paraId="3B3F347B" w14:textId="77777777" w:rsidR="00EA5414" w:rsidRPr="00094C97" w:rsidRDefault="00EA5414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Delivery consistent with IMS</w:t>
                </w:r>
              </w:p>
              <w:p w14:paraId="02CD2C9A" w14:textId="77777777" w:rsidR="00EA5414" w:rsidRPr="00094C97" w:rsidRDefault="00EA5414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Optimal financial returns and effective financial control</w:t>
                </w:r>
              </w:p>
              <w:p w14:paraId="1434C23A" w14:textId="77777777" w:rsidR="00EA5414" w:rsidRPr="00094C97" w:rsidRDefault="00EA5414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Effective resolution of commercial/contractual issues during work winning and delivery</w:t>
                </w:r>
              </w:p>
              <w:p w14:paraId="11050637" w14:textId="5110E753" w:rsidR="006F718E" w:rsidRPr="00094C97" w:rsidRDefault="006F718E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Software sales programme</w:t>
                </w:r>
              </w:p>
              <w:p w14:paraId="4012DE1A" w14:textId="1ED3481A" w:rsidR="006F718E" w:rsidRPr="00094C97" w:rsidRDefault="006F718E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 xml:space="preserve">Software development programme </w:t>
                </w:r>
              </w:p>
              <w:p w14:paraId="2CB6316D" w14:textId="77777777" w:rsidR="00EA5414" w:rsidRPr="00094C97" w:rsidRDefault="00EA5414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Staff engagement</w:t>
                </w:r>
              </w:p>
              <w:p w14:paraId="6492E1C3" w14:textId="77777777" w:rsidR="00EA5414" w:rsidRPr="00094C97" w:rsidRDefault="00EA5414" w:rsidP="00EA5414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Staff development</w:t>
                </w:r>
              </w:p>
              <w:p w14:paraId="665FF251" w14:textId="24A8DBC7" w:rsidR="00DE57FE" w:rsidRPr="00094C97" w:rsidRDefault="00EA5414" w:rsidP="006F718E">
                <w:pPr>
                  <w:pStyle w:val="CommentText"/>
                  <w:numPr>
                    <w:ilvl w:val="0"/>
                    <w:numId w:val="9"/>
                  </w:numPr>
                  <w:ind w:left="1418"/>
                  <w:rPr>
                    <w:rFonts w:ascii="Epilogue" w:hAnsi="Epilogue" w:cs="Calibri"/>
                  </w:rPr>
                </w:pPr>
                <w:r w:rsidRPr="00094C97">
                  <w:rPr>
                    <w:rFonts w:ascii="Epilogue" w:hAnsi="Epilogue" w:cs="Calibri"/>
                  </w:rPr>
                  <w:t>Optimal/flexible resource (staff, I</w:t>
                </w:r>
                <w:r w:rsidRPr="00094C97">
                  <w:rPr>
                    <w:rFonts w:ascii="Epilogue" w:hAnsi="Epilogue"/>
                  </w:rPr>
                  <w:t>T</w:t>
                </w:r>
                <w:r w:rsidRPr="00094C97">
                  <w:rPr>
                    <w:rFonts w:ascii="Epilogue" w:hAnsi="Epilogue" w:cs="Calibri"/>
                  </w:rPr>
                  <w:t xml:space="preserve"> and other) planning and allocation</w:t>
                </w:r>
              </w:p>
            </w:tc>
          </w:sdtContent>
        </w:sdt>
      </w:tr>
    </w:tbl>
    <w:p w14:paraId="5E38934B" w14:textId="77777777" w:rsidR="00DE57FE" w:rsidRDefault="00DE57FE" w:rsidP="00DE57FE">
      <w:pPr>
        <w:rPr>
          <w:rFonts w:ascii="Epilogue" w:hAnsi="Epilogue"/>
          <w:szCs w:val="20"/>
        </w:rPr>
      </w:pPr>
    </w:p>
    <w:p w14:paraId="2AAA278A" w14:textId="77777777" w:rsidR="006E690A" w:rsidRPr="00094C97" w:rsidRDefault="006E690A" w:rsidP="00DE57FE">
      <w:pPr>
        <w:rPr>
          <w:rFonts w:ascii="Epilogue" w:hAnsi="Epilogue"/>
          <w:szCs w:val="20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094C97" w14:paraId="253C2EEB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2BE2574F" w14:textId="5B67D8F6" w:rsidR="003855F8" w:rsidRPr="00094C97" w:rsidRDefault="003855F8" w:rsidP="003855F8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Calibri"/>
                <w:color w:val="005172" w:themeColor="accent2"/>
                <w:szCs w:val="20"/>
              </w:rPr>
              <w:t xml:space="preserve">Main </w:t>
            </w:r>
            <w:r w:rsidR="00DE57FE" w:rsidRPr="00094C97">
              <w:rPr>
                <w:rFonts w:ascii="Epilogue" w:hAnsi="Epilogue" w:cs="Calibri"/>
                <w:color w:val="005172" w:themeColor="accent2"/>
                <w:szCs w:val="20"/>
              </w:rPr>
              <w:t>duties</w:t>
            </w:r>
          </w:p>
        </w:tc>
      </w:tr>
      <w:tr w:rsidR="003855F8" w:rsidRPr="00094C97" w14:paraId="7A3CD7D6" w14:textId="77777777" w:rsidTr="00783D46">
        <w:tc>
          <w:tcPr>
            <w:tcW w:w="9854" w:type="dxa"/>
          </w:tcPr>
          <w:p w14:paraId="3D1CE7DB" w14:textId="48B67285" w:rsidR="00354B87" w:rsidRPr="00094C97" w:rsidRDefault="00354B87" w:rsidP="00354B87">
            <w:pPr>
              <w:ind w:left="360"/>
              <w:rPr>
                <w:rFonts w:ascii="Epilogue" w:hAnsi="Epilogue" w:cs="Arial"/>
                <w:b/>
                <w:bCs/>
                <w:szCs w:val="20"/>
              </w:rPr>
            </w:pPr>
            <w:r w:rsidRPr="00094C97">
              <w:rPr>
                <w:rFonts w:ascii="Epilogue" w:hAnsi="Epilogue" w:cs="Arial"/>
                <w:b/>
                <w:bCs/>
                <w:szCs w:val="20"/>
              </w:rPr>
              <w:t xml:space="preserve">Group </w:t>
            </w:r>
            <w:r w:rsidR="006F718E" w:rsidRPr="00094C97">
              <w:rPr>
                <w:rFonts w:ascii="Epilogue" w:hAnsi="Epilogue" w:cs="Arial"/>
                <w:b/>
                <w:bCs/>
                <w:szCs w:val="20"/>
              </w:rPr>
              <w:t>m</w:t>
            </w:r>
            <w:r w:rsidRPr="00094C97">
              <w:rPr>
                <w:rFonts w:ascii="Epilogue" w:hAnsi="Epilogue" w:cs="Arial"/>
                <w:b/>
                <w:bCs/>
                <w:szCs w:val="20"/>
              </w:rPr>
              <w:t>anagement</w:t>
            </w:r>
          </w:p>
          <w:p w14:paraId="18F78624" w14:textId="6F807D0E" w:rsidR="00354B87" w:rsidRPr="00F43662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 xml:space="preserve">Accountable for delivery of </w:t>
            </w:r>
            <w:r w:rsidR="00F43662" w:rsidRPr="00F43662">
              <w:rPr>
                <w:rFonts w:ascii="Epilogue" w:hAnsi="Epilogue" w:cs="Arial"/>
                <w:szCs w:val="20"/>
              </w:rPr>
              <w:t>t</w:t>
            </w:r>
            <w:r w:rsidR="00F43662" w:rsidRPr="00F43662">
              <w:rPr>
                <w:rFonts w:ascii="Epilogue" w:hAnsi="Epilogue" w:cs="Arial"/>
              </w:rPr>
              <w:t>he Software G</w:t>
            </w:r>
            <w:r w:rsidRPr="00F43662">
              <w:rPr>
                <w:rFonts w:ascii="Epilogue" w:hAnsi="Epilogue" w:cs="Arial"/>
                <w:szCs w:val="20"/>
              </w:rPr>
              <w:t xml:space="preserve">roup budget within the </w:t>
            </w:r>
            <w:r w:rsidR="00CE0ADD">
              <w:rPr>
                <w:rFonts w:ascii="Epilogue" w:hAnsi="Epilogue" w:cs="Arial"/>
                <w:szCs w:val="20"/>
              </w:rPr>
              <w:t>c</w:t>
            </w:r>
            <w:r w:rsidRPr="00F43662">
              <w:rPr>
                <w:rFonts w:ascii="Epilogue" w:hAnsi="Epilogue" w:cs="Arial"/>
                <w:szCs w:val="20"/>
              </w:rPr>
              <w:t>ompany budget</w:t>
            </w:r>
          </w:p>
          <w:p w14:paraId="6AE1D4CA" w14:textId="77777777" w:rsidR="00354B87" w:rsidRPr="00F43662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>Responsible for business planning for the group with P&amp;L</w:t>
            </w:r>
          </w:p>
          <w:p w14:paraId="74AD2EAF" w14:textId="4D68F49D" w:rsidR="00354B87" w:rsidRPr="00F43662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 xml:space="preserve">Undertake the preparation of </w:t>
            </w:r>
            <w:r w:rsidR="006F718E" w:rsidRPr="00F43662">
              <w:rPr>
                <w:rFonts w:ascii="Epilogue" w:hAnsi="Epilogue" w:cs="Arial"/>
                <w:szCs w:val="20"/>
              </w:rPr>
              <w:t>Software</w:t>
            </w:r>
            <w:r w:rsidR="001B0FB6" w:rsidRPr="00F43662">
              <w:rPr>
                <w:rFonts w:ascii="Epilogue" w:hAnsi="Epilogue" w:cs="Arial"/>
                <w:szCs w:val="20"/>
              </w:rPr>
              <w:t xml:space="preserve"> </w:t>
            </w:r>
            <w:r w:rsidR="00F43662" w:rsidRPr="00F43662">
              <w:rPr>
                <w:rFonts w:ascii="Epilogue" w:hAnsi="Epilogue" w:cs="Arial"/>
                <w:szCs w:val="20"/>
              </w:rPr>
              <w:t>G</w:t>
            </w:r>
            <w:r w:rsidR="00F43662" w:rsidRPr="00F43662">
              <w:rPr>
                <w:rFonts w:ascii="Epilogue" w:hAnsi="Epilogue" w:cs="Arial"/>
              </w:rPr>
              <w:t xml:space="preserve">roup </w:t>
            </w:r>
            <w:r w:rsidRPr="00F43662">
              <w:rPr>
                <w:rFonts w:ascii="Epilogue" w:hAnsi="Epilogue" w:cs="Arial"/>
                <w:szCs w:val="20"/>
              </w:rPr>
              <w:t xml:space="preserve">business plan through effective communication with </w:t>
            </w:r>
            <w:r w:rsidR="006F718E" w:rsidRPr="00F43662">
              <w:rPr>
                <w:rFonts w:ascii="Epilogue" w:hAnsi="Epilogue" w:cs="Arial"/>
                <w:szCs w:val="20"/>
              </w:rPr>
              <w:t>the Joint Acting CEO’s and the CFO</w:t>
            </w:r>
          </w:p>
          <w:p w14:paraId="32E4DF98" w14:textId="02A01107" w:rsidR="00354B87" w:rsidRPr="00F43662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 xml:space="preserve">Ensure quarterly review of </w:t>
            </w:r>
            <w:r w:rsidR="00F43662">
              <w:rPr>
                <w:rFonts w:ascii="Epilogue" w:hAnsi="Epilogue" w:cs="Arial"/>
                <w:szCs w:val="20"/>
              </w:rPr>
              <w:t>t</w:t>
            </w:r>
            <w:r w:rsidR="00F43662">
              <w:rPr>
                <w:rFonts w:cs="Arial"/>
              </w:rPr>
              <w:t xml:space="preserve">he </w:t>
            </w:r>
            <w:r w:rsidRPr="00F43662">
              <w:rPr>
                <w:rFonts w:ascii="Epilogue" w:hAnsi="Epilogue" w:cs="Arial"/>
                <w:szCs w:val="20"/>
              </w:rPr>
              <w:t>business plan (and reforecast</w:t>
            </w:r>
            <w:r w:rsidR="00F43662">
              <w:rPr>
                <w:rFonts w:ascii="Epilogue" w:hAnsi="Epilogue" w:cs="Arial"/>
                <w:szCs w:val="20"/>
              </w:rPr>
              <w:t>i</w:t>
            </w:r>
            <w:r w:rsidR="00F43662">
              <w:rPr>
                <w:rFonts w:cs="Arial"/>
              </w:rPr>
              <w:t>ng of the plan</w:t>
            </w:r>
            <w:r w:rsidRPr="00F43662">
              <w:rPr>
                <w:rFonts w:ascii="Epilogue" w:hAnsi="Epilogue" w:cs="Arial"/>
                <w:szCs w:val="20"/>
              </w:rPr>
              <w:t xml:space="preserve"> as necessary)</w:t>
            </w:r>
          </w:p>
          <w:p w14:paraId="345B30F3" w14:textId="107E33FD" w:rsidR="001B0FB6" w:rsidRPr="00F43662" w:rsidRDefault="001B0FB6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 xml:space="preserve">Appropriate resources management </w:t>
            </w:r>
            <w:r w:rsidR="006F718E" w:rsidRPr="00F43662">
              <w:rPr>
                <w:rFonts w:ascii="Epilogue" w:hAnsi="Epilogue" w:cs="Arial"/>
                <w:szCs w:val="20"/>
              </w:rPr>
              <w:t xml:space="preserve">for sales and development </w:t>
            </w:r>
            <w:r w:rsidRPr="00F43662">
              <w:rPr>
                <w:rFonts w:ascii="Epilogue" w:hAnsi="Epilogue" w:cs="Arial"/>
                <w:szCs w:val="20"/>
              </w:rPr>
              <w:t>activities</w:t>
            </w:r>
            <w:r w:rsidR="00F43662">
              <w:rPr>
                <w:rFonts w:ascii="Epilogue" w:hAnsi="Epilogue" w:cs="Arial"/>
                <w:szCs w:val="20"/>
              </w:rPr>
              <w:t>, demonstrating</w:t>
            </w:r>
            <w:r w:rsidRPr="00F43662">
              <w:rPr>
                <w:rFonts w:ascii="Epilogue" w:hAnsi="Epilogue" w:cs="Arial"/>
                <w:szCs w:val="20"/>
              </w:rPr>
              <w:t xml:space="preserve"> the requisite technical and/or management/administration skills</w:t>
            </w:r>
          </w:p>
          <w:p w14:paraId="3E1B239E" w14:textId="51B9E2D4" w:rsidR="00B4231A" w:rsidRPr="00F43662" w:rsidRDefault="00B4231A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>Staff engagement and development</w:t>
            </w:r>
            <w:r w:rsidR="00F43662">
              <w:rPr>
                <w:rFonts w:ascii="Epilogue" w:hAnsi="Epilogue" w:cs="Arial"/>
                <w:szCs w:val="20"/>
              </w:rPr>
              <w:t>,</w:t>
            </w:r>
            <w:r w:rsidRPr="00F43662">
              <w:rPr>
                <w:rFonts w:ascii="Epilogue" w:hAnsi="Epilogue" w:cs="Arial"/>
                <w:szCs w:val="20"/>
              </w:rPr>
              <w:t xml:space="preserve"> including Career Conversations, mentoring, training, welfare and development needs within the group</w:t>
            </w:r>
          </w:p>
          <w:p w14:paraId="116292FA" w14:textId="05F81427" w:rsidR="00354B87" w:rsidRDefault="00B4231A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F43662">
              <w:rPr>
                <w:rFonts w:ascii="Epilogue" w:hAnsi="Epilogue" w:cs="Arial"/>
                <w:szCs w:val="20"/>
              </w:rPr>
              <w:t xml:space="preserve">Effective and timely articulation of operational requirements on corporate resources, </w:t>
            </w:r>
            <w:r w:rsidR="006F718E" w:rsidRPr="00F43662">
              <w:rPr>
                <w:rFonts w:ascii="Epilogue" w:hAnsi="Epilogue" w:cs="Arial"/>
                <w:szCs w:val="20"/>
              </w:rPr>
              <w:t>e.g.</w:t>
            </w:r>
            <w:r w:rsidRPr="00F43662">
              <w:rPr>
                <w:rFonts w:ascii="Epilogue" w:hAnsi="Epilogue" w:cs="Arial"/>
                <w:szCs w:val="20"/>
              </w:rPr>
              <w:t xml:space="preserve"> Personnel and L&amp;D, IT, Finance etc</w:t>
            </w:r>
            <w:r w:rsidR="00354B87" w:rsidRPr="00F43662">
              <w:rPr>
                <w:rFonts w:ascii="Epilogue" w:hAnsi="Epilogue" w:cs="Arial"/>
                <w:szCs w:val="20"/>
              </w:rPr>
              <w:t>.</w:t>
            </w:r>
          </w:p>
          <w:p w14:paraId="03FD0C8E" w14:textId="77777777" w:rsidR="00CE0ADD" w:rsidRDefault="00CE0ADD" w:rsidP="00CE0ADD">
            <w:pPr>
              <w:rPr>
                <w:rFonts w:ascii="Epilogue" w:hAnsi="Epilogue" w:cs="Arial"/>
                <w:szCs w:val="20"/>
              </w:rPr>
            </w:pPr>
          </w:p>
          <w:p w14:paraId="38EE2372" w14:textId="77777777" w:rsidR="00CE0ADD" w:rsidRPr="00094C97" w:rsidRDefault="00CE0ADD" w:rsidP="00CE0ADD">
            <w:pPr>
              <w:ind w:left="360"/>
              <w:rPr>
                <w:rFonts w:ascii="Epilogue" w:hAnsi="Epilogue" w:cs="Arial"/>
                <w:b/>
                <w:bCs/>
                <w:szCs w:val="20"/>
              </w:rPr>
            </w:pPr>
            <w:r w:rsidRPr="00094C97">
              <w:rPr>
                <w:rFonts w:ascii="Epilogue" w:hAnsi="Epilogue" w:cs="Arial"/>
                <w:b/>
                <w:bCs/>
                <w:szCs w:val="20"/>
              </w:rPr>
              <w:t>Business development, sales and marketing</w:t>
            </w:r>
          </w:p>
          <w:p w14:paraId="22D295EC" w14:textId="77777777" w:rsidR="00CE0ADD" w:rsidRDefault="00CE0ADD" w:rsidP="00CE0ADD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>Support the software sales effort to provide staff resource and suitable materials as and when required.</w:t>
            </w:r>
          </w:p>
          <w:p w14:paraId="03CE397B" w14:textId="77777777" w:rsidR="00CE0ADD" w:rsidRPr="00094C97" w:rsidRDefault="00CE0ADD" w:rsidP="00CE0ADD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>
              <w:rPr>
                <w:rFonts w:ascii="Epilogue" w:hAnsi="Epilogue" w:cs="Arial"/>
                <w:szCs w:val="20"/>
              </w:rPr>
              <w:t>Management of an international network of reselling partners</w:t>
            </w:r>
          </w:p>
          <w:p w14:paraId="197FE6BF" w14:textId="77777777" w:rsidR="00CE0ADD" w:rsidRPr="00094C97" w:rsidRDefault="00CE0ADD" w:rsidP="00CE0ADD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Ensure regular review of </w:t>
            </w:r>
            <w:r>
              <w:rPr>
                <w:rFonts w:ascii="Epilogue" w:hAnsi="Epilogue" w:cs="Arial"/>
                <w:szCs w:val="20"/>
              </w:rPr>
              <w:t xml:space="preserve">the </w:t>
            </w:r>
            <w:r w:rsidRPr="00094C97">
              <w:rPr>
                <w:rFonts w:ascii="Epilogue" w:hAnsi="Epilogue" w:cs="Arial"/>
                <w:szCs w:val="20"/>
              </w:rPr>
              <w:t>sales pipelines and required actions to secure revenue to the required levels.</w:t>
            </w:r>
          </w:p>
          <w:p w14:paraId="5AC3F6AA" w14:textId="77777777" w:rsidR="00CE0ADD" w:rsidRPr="00094C97" w:rsidRDefault="00CE0ADD" w:rsidP="00CE0ADD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Responsible for </w:t>
            </w:r>
            <w:r>
              <w:rPr>
                <w:rFonts w:ascii="Epilogue" w:hAnsi="Epilogue" w:cs="Arial"/>
                <w:szCs w:val="20"/>
              </w:rPr>
              <w:t xml:space="preserve">the </w:t>
            </w:r>
            <w:r w:rsidRPr="00094C97">
              <w:rPr>
                <w:rFonts w:ascii="Epilogue" w:hAnsi="Epilogue" w:cs="Arial"/>
                <w:szCs w:val="20"/>
              </w:rPr>
              <w:t>commercial and technical content, timely preparation and submission of software related proposals.</w:t>
            </w:r>
          </w:p>
          <w:p w14:paraId="6B5BB9A7" w14:textId="77777777" w:rsidR="00CE0ADD" w:rsidRDefault="00CE0ADD" w:rsidP="00CE0ADD">
            <w:pPr>
              <w:rPr>
                <w:rFonts w:ascii="Epilogue" w:hAnsi="Epilogue" w:cs="Arial"/>
                <w:szCs w:val="20"/>
              </w:rPr>
            </w:pPr>
          </w:p>
          <w:p w14:paraId="77CAC913" w14:textId="77777777" w:rsidR="006F718E" w:rsidRDefault="006F718E" w:rsidP="006F718E">
            <w:pPr>
              <w:ind w:left="720"/>
              <w:rPr>
                <w:rFonts w:ascii="Epilogue" w:hAnsi="Epilogue" w:cs="Arial"/>
                <w:szCs w:val="20"/>
              </w:rPr>
            </w:pPr>
          </w:p>
          <w:p w14:paraId="4BF52585" w14:textId="77777777" w:rsidR="006E690A" w:rsidRDefault="006E690A" w:rsidP="006F718E">
            <w:pPr>
              <w:ind w:left="720"/>
              <w:rPr>
                <w:rFonts w:ascii="Epilogue" w:hAnsi="Epilogue" w:cs="Arial"/>
                <w:szCs w:val="20"/>
              </w:rPr>
            </w:pPr>
          </w:p>
          <w:p w14:paraId="10175274" w14:textId="77777777" w:rsidR="006E690A" w:rsidRDefault="006E690A" w:rsidP="006F718E">
            <w:pPr>
              <w:ind w:left="720"/>
              <w:rPr>
                <w:rFonts w:ascii="Epilogue" w:hAnsi="Epilogue" w:cs="Arial"/>
                <w:szCs w:val="20"/>
              </w:rPr>
            </w:pPr>
          </w:p>
          <w:p w14:paraId="766806C8" w14:textId="77777777" w:rsidR="006E690A" w:rsidRDefault="006E690A" w:rsidP="006F718E">
            <w:pPr>
              <w:ind w:left="720"/>
              <w:rPr>
                <w:rFonts w:ascii="Epilogue" w:hAnsi="Epilogue" w:cs="Arial"/>
                <w:szCs w:val="20"/>
              </w:rPr>
            </w:pPr>
          </w:p>
          <w:p w14:paraId="14CF2479" w14:textId="77777777" w:rsidR="006E690A" w:rsidRPr="00F43662" w:rsidRDefault="006E690A" w:rsidP="006F718E">
            <w:pPr>
              <w:ind w:left="720"/>
              <w:rPr>
                <w:rFonts w:ascii="Epilogue" w:hAnsi="Epilogue" w:cs="Arial"/>
                <w:szCs w:val="20"/>
              </w:rPr>
            </w:pPr>
          </w:p>
          <w:p w14:paraId="0DAD429C" w14:textId="0CBD75EE" w:rsidR="00354B87" w:rsidRPr="00094C97" w:rsidRDefault="00354B87" w:rsidP="00354B87">
            <w:pPr>
              <w:ind w:left="360"/>
              <w:rPr>
                <w:rFonts w:ascii="Epilogue" w:hAnsi="Epilogue" w:cs="Arial"/>
                <w:b/>
                <w:bCs/>
                <w:szCs w:val="20"/>
              </w:rPr>
            </w:pPr>
            <w:r w:rsidRPr="00094C97">
              <w:rPr>
                <w:rFonts w:ascii="Epilogue" w:hAnsi="Epilogue" w:cs="Arial"/>
                <w:b/>
                <w:bCs/>
                <w:szCs w:val="20"/>
              </w:rPr>
              <w:t>Delivery</w:t>
            </w:r>
            <w:r w:rsidR="006F718E" w:rsidRPr="00094C97">
              <w:rPr>
                <w:rFonts w:ascii="Epilogue" w:hAnsi="Epilogue" w:cs="Arial"/>
                <w:b/>
                <w:bCs/>
                <w:szCs w:val="20"/>
              </w:rPr>
              <w:t xml:space="preserve"> and software development</w:t>
            </w:r>
          </w:p>
          <w:p w14:paraId="4AE12094" w14:textId="2B727C2D" w:rsidR="00354B87" w:rsidRPr="00094C97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Accountable for technical and financial performance of all </w:t>
            </w:r>
            <w:r w:rsidR="00F43662">
              <w:rPr>
                <w:rFonts w:ascii="Epilogue" w:hAnsi="Epilogue" w:cs="Arial"/>
                <w:szCs w:val="20"/>
              </w:rPr>
              <w:t xml:space="preserve">developments and sales activities </w:t>
            </w:r>
            <w:r w:rsidRPr="00094C97">
              <w:rPr>
                <w:rFonts w:ascii="Epilogue" w:hAnsi="Epilogue" w:cs="Arial"/>
                <w:szCs w:val="20"/>
              </w:rPr>
              <w:t xml:space="preserve">within </w:t>
            </w:r>
            <w:r w:rsidR="00556AA3">
              <w:rPr>
                <w:rFonts w:ascii="Epilogue" w:hAnsi="Epilogue" w:cs="Arial"/>
                <w:szCs w:val="20"/>
              </w:rPr>
              <w:t>the Software G</w:t>
            </w:r>
            <w:r w:rsidRPr="00094C97">
              <w:rPr>
                <w:rFonts w:ascii="Epilogue" w:hAnsi="Epilogue" w:cs="Arial"/>
                <w:szCs w:val="20"/>
              </w:rPr>
              <w:t>roup</w:t>
            </w:r>
            <w:r w:rsidR="00556AA3">
              <w:rPr>
                <w:rFonts w:ascii="Epilogue" w:hAnsi="Epilogue" w:cs="Arial"/>
                <w:szCs w:val="20"/>
              </w:rPr>
              <w:t>.</w:t>
            </w:r>
          </w:p>
          <w:p w14:paraId="39ABB9AA" w14:textId="137B159C" w:rsidR="00354B87" w:rsidRPr="00094C97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Strategic </w:t>
            </w:r>
            <w:r w:rsidR="006F718E" w:rsidRPr="00094C97">
              <w:rPr>
                <w:rFonts w:ascii="Epilogue" w:hAnsi="Epilogue" w:cs="Arial"/>
                <w:szCs w:val="20"/>
              </w:rPr>
              <w:t>overview of the agreed software development programme and associated activities</w:t>
            </w:r>
            <w:r w:rsidR="00B4231A" w:rsidRPr="00094C97">
              <w:rPr>
                <w:rFonts w:ascii="Epilogue" w:hAnsi="Epilogue" w:cs="Arial"/>
                <w:szCs w:val="20"/>
              </w:rPr>
              <w:t>.</w:t>
            </w:r>
          </w:p>
          <w:p w14:paraId="3E962ADE" w14:textId="77777777" w:rsidR="006F718E" w:rsidRPr="00094C97" w:rsidRDefault="006F718E" w:rsidP="006F718E">
            <w:pPr>
              <w:ind w:left="720"/>
              <w:rPr>
                <w:rFonts w:ascii="Epilogue" w:hAnsi="Epilogue" w:cs="Arial"/>
                <w:szCs w:val="20"/>
              </w:rPr>
            </w:pPr>
          </w:p>
          <w:p w14:paraId="57FF8C96" w14:textId="76904A15" w:rsidR="00354B87" w:rsidRPr="00094C97" w:rsidRDefault="00354B87" w:rsidP="00354B87">
            <w:pPr>
              <w:ind w:left="360"/>
              <w:rPr>
                <w:rFonts w:ascii="Epilogue" w:hAnsi="Epilogue" w:cs="Arial"/>
                <w:b/>
                <w:bCs/>
                <w:szCs w:val="20"/>
              </w:rPr>
            </w:pPr>
            <w:r w:rsidRPr="00094C97">
              <w:rPr>
                <w:rFonts w:ascii="Epilogue" w:hAnsi="Epilogue" w:cs="Arial"/>
                <w:b/>
                <w:bCs/>
                <w:szCs w:val="20"/>
              </w:rPr>
              <w:t xml:space="preserve">Innovation and </w:t>
            </w:r>
            <w:r w:rsidR="006F718E" w:rsidRPr="00094C97">
              <w:rPr>
                <w:rFonts w:ascii="Epilogue" w:hAnsi="Epilogue" w:cs="Arial"/>
                <w:b/>
                <w:bCs/>
                <w:szCs w:val="20"/>
              </w:rPr>
              <w:t>l</w:t>
            </w:r>
            <w:r w:rsidRPr="00094C97">
              <w:rPr>
                <w:rFonts w:ascii="Epilogue" w:hAnsi="Epilogue" w:cs="Arial"/>
                <w:b/>
                <w:bCs/>
                <w:szCs w:val="20"/>
              </w:rPr>
              <w:t>eadership</w:t>
            </w:r>
          </w:p>
          <w:p w14:paraId="5BD7A2E4" w14:textId="3D3020D5" w:rsidR="001B0FB6" w:rsidRPr="00094C97" w:rsidRDefault="001B0FB6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Input into </w:t>
            </w:r>
            <w:r w:rsidR="00F43662">
              <w:rPr>
                <w:rFonts w:ascii="Epilogue" w:hAnsi="Epilogue" w:cs="Arial"/>
                <w:szCs w:val="20"/>
              </w:rPr>
              <w:t xml:space="preserve">the </w:t>
            </w:r>
            <w:r w:rsidRPr="00094C97">
              <w:rPr>
                <w:rFonts w:ascii="Epilogue" w:hAnsi="Epilogue" w:cs="Arial"/>
                <w:szCs w:val="20"/>
              </w:rPr>
              <w:t>5 year strategy review and update</w:t>
            </w:r>
          </w:p>
          <w:p w14:paraId="7A66F44E" w14:textId="40C3F7E7" w:rsidR="001B0FB6" w:rsidRPr="00094C97" w:rsidRDefault="001B0FB6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Co-ordination with senior technical staff across HR Wallingford business to ensure emerging </w:t>
            </w:r>
            <w:r w:rsidR="006F718E" w:rsidRPr="00094C97">
              <w:rPr>
                <w:rFonts w:ascii="Epilogue" w:hAnsi="Epilogue" w:cs="Arial"/>
                <w:szCs w:val="20"/>
              </w:rPr>
              <w:t>software related research and innovation n</w:t>
            </w:r>
            <w:r w:rsidRPr="00094C97">
              <w:rPr>
                <w:rFonts w:ascii="Epilogue" w:hAnsi="Epilogue" w:cs="Arial"/>
                <w:szCs w:val="20"/>
              </w:rPr>
              <w:t>eeds are met</w:t>
            </w:r>
          </w:p>
          <w:p w14:paraId="5D0317C5" w14:textId="516F3A96" w:rsidR="001B0FB6" w:rsidRPr="00094C97" w:rsidRDefault="001B0FB6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Balancing of resources to deliver on budgeted P&amp;L and delivery of </w:t>
            </w:r>
            <w:r w:rsidR="006F718E" w:rsidRPr="00094C97">
              <w:rPr>
                <w:rFonts w:ascii="Epilogue" w:hAnsi="Epilogue" w:cs="Arial"/>
                <w:szCs w:val="20"/>
              </w:rPr>
              <w:t xml:space="preserve">software related </w:t>
            </w:r>
            <w:r w:rsidRPr="00094C97">
              <w:rPr>
                <w:rFonts w:ascii="Epilogue" w:hAnsi="Epilogue" w:cs="Arial"/>
                <w:szCs w:val="20"/>
              </w:rPr>
              <w:t>research and development commitments</w:t>
            </w:r>
          </w:p>
          <w:p w14:paraId="6F47B1EE" w14:textId="492E6244" w:rsidR="00354B87" w:rsidRPr="00094C97" w:rsidRDefault="00354B87" w:rsidP="001B0FB6">
            <w:pPr>
              <w:numPr>
                <w:ilvl w:val="0"/>
                <w:numId w:val="6"/>
              </w:numPr>
              <w:rPr>
                <w:rFonts w:ascii="Epilogue" w:hAnsi="Epilogue" w:cs="Arial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Support and address liaison with </w:t>
            </w:r>
            <w:r w:rsidR="00F43662">
              <w:rPr>
                <w:rFonts w:ascii="Epilogue" w:hAnsi="Epilogue" w:cs="Arial"/>
                <w:szCs w:val="20"/>
              </w:rPr>
              <w:t xml:space="preserve">potential </w:t>
            </w:r>
            <w:r w:rsidRPr="00094C97">
              <w:rPr>
                <w:rFonts w:ascii="Epilogue" w:hAnsi="Epilogue" w:cs="Arial"/>
                <w:szCs w:val="20"/>
              </w:rPr>
              <w:t xml:space="preserve">national and international </w:t>
            </w:r>
            <w:r w:rsidR="00F43662">
              <w:rPr>
                <w:rFonts w:ascii="Epilogue" w:hAnsi="Epilogue" w:cs="Arial"/>
                <w:szCs w:val="20"/>
              </w:rPr>
              <w:t>partners</w:t>
            </w:r>
            <w:r w:rsidRPr="00094C97">
              <w:rPr>
                <w:rFonts w:ascii="Epilogue" w:hAnsi="Epilogue" w:cs="Arial"/>
                <w:szCs w:val="20"/>
              </w:rPr>
              <w:t xml:space="preserve"> and private sector investment, identifying and</w:t>
            </w:r>
            <w:r w:rsidR="00556AA3">
              <w:rPr>
                <w:rFonts w:ascii="Epilogue" w:hAnsi="Epilogue" w:cs="Arial"/>
                <w:szCs w:val="20"/>
              </w:rPr>
              <w:t>,</w:t>
            </w:r>
            <w:r w:rsidRPr="00094C97">
              <w:rPr>
                <w:rFonts w:ascii="Epilogue" w:hAnsi="Epilogue" w:cs="Arial"/>
                <w:szCs w:val="20"/>
              </w:rPr>
              <w:t xml:space="preserve"> where appropriate</w:t>
            </w:r>
            <w:r w:rsidR="00556AA3">
              <w:rPr>
                <w:rFonts w:ascii="Epilogue" w:hAnsi="Epilogue" w:cs="Arial"/>
                <w:szCs w:val="20"/>
              </w:rPr>
              <w:t>,</w:t>
            </w:r>
            <w:r w:rsidR="001B0FB6" w:rsidRPr="00094C97">
              <w:rPr>
                <w:rFonts w:ascii="Epilogue" w:hAnsi="Epilogue" w:cs="Arial"/>
                <w:szCs w:val="20"/>
              </w:rPr>
              <w:t xml:space="preserve"> securing greater </w:t>
            </w:r>
            <w:r w:rsidR="00556AA3">
              <w:rPr>
                <w:rFonts w:ascii="Epilogue" w:hAnsi="Epilogue" w:cs="Arial"/>
                <w:szCs w:val="20"/>
              </w:rPr>
              <w:t>partnering.</w:t>
            </w:r>
          </w:p>
          <w:p w14:paraId="6EC952AD" w14:textId="392BCEE8" w:rsidR="003855F8" w:rsidRPr="00094C97" w:rsidRDefault="00354B87" w:rsidP="001B0FB6">
            <w:pPr>
              <w:pStyle w:val="ListParagraph"/>
              <w:numPr>
                <w:ilvl w:val="0"/>
                <w:numId w:val="6"/>
              </w:numPr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Arial"/>
                <w:szCs w:val="20"/>
              </w:rPr>
              <w:t xml:space="preserve">Assess opportunities for HR Wallingford to invest in </w:t>
            </w:r>
            <w:r w:rsidR="00F43662">
              <w:rPr>
                <w:rFonts w:ascii="Epilogue" w:hAnsi="Epilogue" w:cs="Arial"/>
                <w:szCs w:val="20"/>
              </w:rPr>
              <w:t xml:space="preserve">software related </w:t>
            </w:r>
            <w:r w:rsidRPr="00094C97">
              <w:rPr>
                <w:rFonts w:ascii="Epilogue" w:hAnsi="Epilogue" w:cs="Arial"/>
                <w:szCs w:val="20"/>
              </w:rPr>
              <w:t>innovation start-ups.</w:t>
            </w:r>
          </w:p>
          <w:p w14:paraId="16D4BBFF" w14:textId="2C81F4E5" w:rsidR="00354B87" w:rsidRPr="00094C97" w:rsidRDefault="00354B87" w:rsidP="00354B87">
            <w:pPr>
              <w:pStyle w:val="ListParagraph"/>
              <w:rPr>
                <w:rFonts w:ascii="Epilogue" w:hAnsi="Epilogue" w:cs="Calibri"/>
                <w:szCs w:val="20"/>
              </w:rPr>
            </w:pPr>
          </w:p>
        </w:tc>
      </w:tr>
    </w:tbl>
    <w:p w14:paraId="76DB6593" w14:textId="77777777" w:rsidR="003C777F" w:rsidRPr="00094C97" w:rsidRDefault="003C777F" w:rsidP="003855F8">
      <w:pPr>
        <w:pStyle w:val="NoSpacing"/>
        <w:rPr>
          <w:rFonts w:ascii="Epilogue" w:eastAsiaTheme="majorEastAsia" w:hAnsi="Epilogue" w:cs="Calibri"/>
          <w:b/>
          <w:bCs/>
          <w:szCs w:val="20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094C97" w14:paraId="5E20BD20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63DADB6C" w14:textId="77777777" w:rsidR="003855F8" w:rsidRPr="00094C97" w:rsidRDefault="003855F8" w:rsidP="00783D46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Calibri"/>
                <w:color w:val="005172" w:themeColor="accent2"/>
                <w:szCs w:val="20"/>
              </w:rPr>
              <w:t>Job specific duties</w:t>
            </w:r>
          </w:p>
        </w:tc>
      </w:tr>
      <w:tr w:rsidR="003855F8" w:rsidRPr="00094C97" w14:paraId="470DC34B" w14:textId="77777777" w:rsidTr="00783D46">
        <w:sdt>
          <w:sdtPr>
            <w:rPr>
              <w:rFonts w:ascii="Epilogue" w:hAnsi="Epilogue"/>
              <w:szCs w:val="20"/>
            </w:rPr>
            <w:id w:val="-1127164910"/>
            <w:lock w:val="sdtLocked"/>
            <w:placeholder>
              <w:docPart w:val="F70EDA51C4A147009E3BF67FD3435BD5"/>
            </w:placeholder>
          </w:sdtPr>
          <w:sdtEndPr/>
          <w:sdtContent>
            <w:tc>
              <w:tcPr>
                <w:tcW w:w="9854" w:type="dxa"/>
              </w:tcPr>
              <w:sdt>
                <w:sdtPr>
                  <w:rPr>
                    <w:rFonts w:ascii="Epilogue" w:hAnsi="Epilogue" w:cs="Calibri"/>
                    <w:szCs w:val="20"/>
                  </w:rPr>
                  <w:id w:val="-372611003"/>
                  <w:placeholder>
                    <w:docPart w:val="4E626391417541A4906E8082132970F2"/>
                  </w:placeholder>
                </w:sdtPr>
                <w:sdtEndPr>
                  <w:rPr>
                    <w:rFonts w:cstheme="minorBidi"/>
                  </w:rPr>
                </w:sdtEndPr>
                <w:sdtContent>
                  <w:p w14:paraId="187F2A0C" w14:textId="77777777" w:rsidR="00354B87" w:rsidRPr="00094C97" w:rsidRDefault="00354B87" w:rsidP="00354B87">
                    <w:pPr>
                      <w:ind w:left="720"/>
                      <w:rPr>
                        <w:rFonts w:ascii="Epilogue" w:hAnsi="Epilogue" w:cs="Arial"/>
                        <w:szCs w:val="20"/>
                      </w:rPr>
                    </w:pPr>
                  </w:p>
                  <w:p w14:paraId="42419E44" w14:textId="54FD67AD" w:rsidR="00354B87" w:rsidRPr="00094C97" w:rsidRDefault="00354B87" w:rsidP="00354B87">
                    <w:pPr>
                      <w:numPr>
                        <w:ilvl w:val="0"/>
                        <w:numId w:val="6"/>
                      </w:numPr>
                      <w:rPr>
                        <w:rFonts w:ascii="Epilogue" w:hAnsi="Epilogue" w:cs="Arial"/>
                        <w:szCs w:val="20"/>
                      </w:rPr>
                    </w:pPr>
                    <w:r w:rsidRPr="00094C97">
                      <w:rPr>
                        <w:rFonts w:ascii="Epilogue" w:hAnsi="Epilogue" w:cs="Arial"/>
                        <w:szCs w:val="20"/>
                      </w:rPr>
                      <w:t>Line management as necessary and appropriate according to functional structure of the group.</w:t>
                    </w:r>
                  </w:p>
                  <w:p w14:paraId="2E868462" w14:textId="69C3D821" w:rsidR="00354B87" w:rsidRPr="00094C97" w:rsidRDefault="001B0FB6" w:rsidP="00354B87">
                    <w:pPr>
                      <w:numPr>
                        <w:ilvl w:val="0"/>
                        <w:numId w:val="6"/>
                      </w:numPr>
                      <w:rPr>
                        <w:rFonts w:ascii="Epilogue" w:hAnsi="Epilogue" w:cs="Arial"/>
                        <w:szCs w:val="20"/>
                      </w:rPr>
                    </w:pPr>
                    <w:r w:rsidRPr="00094C97">
                      <w:rPr>
                        <w:rFonts w:ascii="Epilogue" w:hAnsi="Epilogue" w:cs="Arial"/>
                        <w:szCs w:val="20"/>
                      </w:rPr>
                      <w:t>M</w:t>
                    </w:r>
                    <w:r w:rsidR="00354B87" w:rsidRPr="00094C97">
                      <w:rPr>
                        <w:rFonts w:ascii="Epilogue" w:hAnsi="Epilogue" w:cs="Arial"/>
                        <w:szCs w:val="20"/>
                      </w:rPr>
                      <w:t>onthly group reports</w:t>
                    </w:r>
                    <w:r w:rsidRPr="00094C97">
                      <w:rPr>
                        <w:rFonts w:ascii="Epilogue" w:hAnsi="Epilogue" w:cs="Arial"/>
                        <w:szCs w:val="20"/>
                      </w:rPr>
                      <w:t xml:space="preserve"> – against financial and other KPIs – weekly BD and Operations summary.</w:t>
                    </w:r>
                    <w:r w:rsidR="00354B87" w:rsidRPr="00094C97">
                      <w:rPr>
                        <w:rFonts w:ascii="Epilogue" w:hAnsi="Epilogue" w:cs="Arial"/>
                        <w:szCs w:val="20"/>
                      </w:rPr>
                      <w:t xml:space="preserve"> </w:t>
                    </w:r>
                  </w:p>
                  <w:p w14:paraId="5BB19ECD" w14:textId="54E2401C" w:rsidR="00354B87" w:rsidRPr="00094C97" w:rsidRDefault="00EA5414" w:rsidP="00354B87">
                    <w:pPr>
                      <w:numPr>
                        <w:ilvl w:val="0"/>
                        <w:numId w:val="6"/>
                      </w:numPr>
                      <w:rPr>
                        <w:rFonts w:ascii="Epilogue" w:hAnsi="Epilogue" w:cs="Arial"/>
                        <w:szCs w:val="20"/>
                      </w:rPr>
                    </w:pPr>
                    <w:r w:rsidRPr="00094C97">
                      <w:rPr>
                        <w:rFonts w:ascii="Epilogue" w:hAnsi="Epilogue" w:cs="Arial"/>
                        <w:szCs w:val="20"/>
                      </w:rPr>
                      <w:t>Responsible for QHSE and ensuring a</w:t>
                    </w:r>
                    <w:r w:rsidR="00354B87" w:rsidRPr="00094C97">
                      <w:rPr>
                        <w:rFonts w:ascii="Epilogue" w:hAnsi="Epilogue" w:cs="Arial"/>
                        <w:szCs w:val="20"/>
                      </w:rPr>
                      <w:t>dherence to Company HSE and QA procedures.</w:t>
                    </w:r>
                  </w:p>
                  <w:p w14:paraId="25E115CB" w14:textId="1340B499" w:rsidR="003855F8" w:rsidRPr="00094C97" w:rsidRDefault="006E690A" w:rsidP="00094C97">
                    <w:pPr>
                      <w:ind w:left="720"/>
                      <w:rPr>
                        <w:rFonts w:ascii="Epilogue" w:hAnsi="Epilogue" w:cs="Calibri"/>
                        <w:color w:val="auto"/>
                        <w:szCs w:val="20"/>
                      </w:rPr>
                    </w:pPr>
                  </w:p>
                </w:sdtContent>
              </w:sdt>
            </w:tc>
          </w:sdtContent>
        </w:sdt>
      </w:tr>
    </w:tbl>
    <w:p w14:paraId="7609F713" w14:textId="77777777" w:rsidR="003C777F" w:rsidRPr="00094C97" w:rsidRDefault="003C777F" w:rsidP="003855F8">
      <w:pPr>
        <w:pStyle w:val="NoSpacing"/>
        <w:rPr>
          <w:rFonts w:ascii="Epilogue" w:hAnsi="Epilogue" w:cs="Calibri"/>
          <w:szCs w:val="20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094C97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094C97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Calibri"/>
                <w:szCs w:val="20"/>
              </w:rPr>
              <w:t>Group</w:t>
            </w:r>
          </w:p>
        </w:tc>
        <w:tc>
          <w:tcPr>
            <w:tcW w:w="5902" w:type="dxa"/>
            <w:shd w:val="clear" w:color="auto" w:fill="FFFFFF" w:themeFill="background1"/>
          </w:tcPr>
          <w:p w14:paraId="3FF339DF" w14:textId="74D0BDFA" w:rsidR="006A7CEB" w:rsidRPr="00094C97" w:rsidRDefault="00EB76CA" w:rsidP="003A3319">
            <w:pPr>
              <w:pStyle w:val="NoSpacing"/>
              <w:rPr>
                <w:rFonts w:ascii="Epilogue" w:hAnsi="Epilogue" w:cs="Calibri"/>
                <w:color w:val="auto"/>
                <w:szCs w:val="20"/>
              </w:rPr>
            </w:pPr>
            <w:r w:rsidRPr="00094C97">
              <w:rPr>
                <w:rStyle w:val="NoSpacingChar"/>
                <w:rFonts w:ascii="Epilogue" w:hAnsi="Epilogue"/>
                <w:szCs w:val="20"/>
              </w:rPr>
              <w:t>Software</w:t>
            </w:r>
          </w:p>
        </w:tc>
      </w:tr>
      <w:tr w:rsidR="006A7CEB" w:rsidRPr="00094C97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094C97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42B62075" w:rsidR="006A7CEB" w:rsidRPr="00094C97" w:rsidRDefault="00EB76CA" w:rsidP="009A1BD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094C97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Joint Acting CEO (Commercial)</w:t>
                </w:r>
              </w:p>
            </w:tc>
          </w:sdtContent>
        </w:sdt>
      </w:tr>
      <w:tr w:rsidR="001341B3" w:rsidRPr="00094C97" w14:paraId="764C1AD5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094C97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1EED9D3B" w:rsidR="001341B3" w:rsidRPr="00094C97" w:rsidRDefault="00BD1077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  <w:r>
              <w:rPr>
                <w:rStyle w:val="NoSpacingChar"/>
                <w:rFonts w:ascii="Epilogue" w:hAnsi="Epilogue" w:cs="Calibri"/>
                <w:szCs w:val="20"/>
              </w:rPr>
              <w:t>Software Trading Group</w:t>
            </w:r>
          </w:p>
        </w:tc>
      </w:tr>
      <w:tr w:rsidR="006A7CEB" w:rsidRPr="00094C97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094C97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094C97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36B95AE6" w:rsidR="006A7CEB" w:rsidRPr="00094C97" w:rsidRDefault="00BD1077" w:rsidP="006A7CEB">
                <w:pPr>
                  <w:pStyle w:val="NoSpacing"/>
                  <w:rPr>
                    <w:rFonts w:ascii="Epilogue" w:hAnsi="Epilogue" w:cs="Calibri"/>
                    <w:szCs w:val="20"/>
                  </w:rPr>
                </w:pPr>
                <w:r>
                  <w:rPr>
                    <w:rStyle w:val="NoSpacingChar"/>
                    <w:rFonts w:ascii="Epilogue" w:hAnsi="Epilogue" w:cs="Calibri"/>
                    <w:szCs w:val="20"/>
                  </w:rPr>
                  <w:t>TBC</w:t>
                </w:r>
              </w:p>
            </w:tc>
          </w:sdtContent>
        </w:sdt>
      </w:tr>
    </w:tbl>
    <w:p w14:paraId="0CD6132D" w14:textId="77777777" w:rsidR="003855F8" w:rsidRPr="00094C97" w:rsidRDefault="003855F8" w:rsidP="009D33A9">
      <w:pPr>
        <w:pStyle w:val="NoSpacing"/>
        <w:rPr>
          <w:rFonts w:ascii="Epilogue" w:hAnsi="Epilogue" w:cs="Calibri"/>
          <w:szCs w:val="20"/>
          <w:u w:val="single"/>
        </w:rPr>
      </w:pPr>
    </w:p>
    <w:sectPr w:rsidR="003855F8" w:rsidRPr="00094C97" w:rsidSect="00E76263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D563" w14:textId="77777777" w:rsidR="004847D1" w:rsidRDefault="004847D1" w:rsidP="00700852">
      <w:pPr>
        <w:spacing w:line="240" w:lineRule="auto"/>
      </w:pPr>
      <w:r>
        <w:separator/>
      </w:r>
    </w:p>
  </w:endnote>
  <w:endnote w:type="continuationSeparator" w:id="0">
    <w:p w14:paraId="4E9F13A6" w14:textId="77777777" w:rsidR="004847D1" w:rsidRDefault="004847D1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31BC" w14:textId="77777777" w:rsidR="004847D1" w:rsidRDefault="004847D1" w:rsidP="00700852">
      <w:pPr>
        <w:spacing w:line="240" w:lineRule="auto"/>
      </w:pPr>
      <w:r>
        <w:separator/>
      </w:r>
    </w:p>
  </w:footnote>
  <w:footnote w:type="continuationSeparator" w:id="0">
    <w:p w14:paraId="6972CD39" w14:textId="77777777" w:rsidR="004847D1" w:rsidRDefault="004847D1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A97" w14:textId="129E175D" w:rsidR="00E67B9C" w:rsidRPr="00F94A94" w:rsidRDefault="0091413A" w:rsidP="00F94A94">
    <w:pPr>
      <w:tabs>
        <w:tab w:val="left" w:pos="5670"/>
      </w:tabs>
      <w:rPr>
        <w:rFonts w:ascii="Epilogue" w:hAnsi="Epilogu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4A94">
      <w:tab/>
    </w:r>
    <w:sdt>
      <w:sdtPr>
        <w:rPr>
          <w:rFonts w:ascii="Epilogue" w:hAnsi="Epilogue"/>
        </w:rPr>
        <w:id w:val="-2077048949"/>
        <w:placeholder>
          <w:docPart w:val="78A93614E72B4C3C8B6D18F07E6D4601"/>
        </w:placeholder>
      </w:sdtPr>
      <w:sdtContent>
        <w:r w:rsidR="00F94A94" w:rsidRPr="00F94A94">
          <w:rPr>
            <w:rFonts w:ascii="Epilogue" w:hAnsi="Epilogue"/>
            <w:sz w:val="44"/>
            <w:szCs w:val="44"/>
          </w:rPr>
          <w:t>Job description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5FD8"/>
    <w:multiLevelType w:val="hybridMultilevel"/>
    <w:tmpl w:val="7E60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5239"/>
    <w:multiLevelType w:val="hybridMultilevel"/>
    <w:tmpl w:val="4024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5AB3"/>
    <w:multiLevelType w:val="hybridMultilevel"/>
    <w:tmpl w:val="B344A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A92FF6"/>
    <w:multiLevelType w:val="hybridMultilevel"/>
    <w:tmpl w:val="4C16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6" w15:restartNumberingAfterBreak="0">
    <w:nsid w:val="4A794C3D"/>
    <w:multiLevelType w:val="hybridMultilevel"/>
    <w:tmpl w:val="5FDA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FA2"/>
    <w:multiLevelType w:val="hybridMultilevel"/>
    <w:tmpl w:val="A332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11F8"/>
    <w:multiLevelType w:val="hybridMultilevel"/>
    <w:tmpl w:val="748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2788">
    <w:abstractNumId w:val="5"/>
  </w:num>
  <w:num w:numId="2" w16cid:durableId="2006977140">
    <w:abstractNumId w:val="3"/>
  </w:num>
  <w:num w:numId="3" w16cid:durableId="508060555">
    <w:abstractNumId w:val="0"/>
  </w:num>
  <w:num w:numId="4" w16cid:durableId="2014725573">
    <w:abstractNumId w:val="6"/>
  </w:num>
  <w:num w:numId="5" w16cid:durableId="2071221653">
    <w:abstractNumId w:val="8"/>
  </w:num>
  <w:num w:numId="6" w16cid:durableId="1825197692">
    <w:abstractNumId w:val="9"/>
  </w:num>
  <w:num w:numId="7" w16cid:durableId="122621725">
    <w:abstractNumId w:val="7"/>
  </w:num>
  <w:num w:numId="8" w16cid:durableId="2092727721">
    <w:abstractNumId w:val="4"/>
  </w:num>
  <w:num w:numId="9" w16cid:durableId="1190414129">
    <w:abstractNumId w:val="1"/>
  </w:num>
  <w:num w:numId="10" w16cid:durableId="11223357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1451F"/>
    <w:rsid w:val="000423F2"/>
    <w:rsid w:val="00065A39"/>
    <w:rsid w:val="00066D16"/>
    <w:rsid w:val="000702BD"/>
    <w:rsid w:val="00073F75"/>
    <w:rsid w:val="00094C97"/>
    <w:rsid w:val="00095276"/>
    <w:rsid w:val="000D441F"/>
    <w:rsid w:val="000E1535"/>
    <w:rsid w:val="000E69F1"/>
    <w:rsid w:val="000E77A8"/>
    <w:rsid w:val="000F1A56"/>
    <w:rsid w:val="00116626"/>
    <w:rsid w:val="001206C1"/>
    <w:rsid w:val="00123107"/>
    <w:rsid w:val="001315BC"/>
    <w:rsid w:val="001341B3"/>
    <w:rsid w:val="00136673"/>
    <w:rsid w:val="00157DEB"/>
    <w:rsid w:val="001636CC"/>
    <w:rsid w:val="00174F83"/>
    <w:rsid w:val="001827FF"/>
    <w:rsid w:val="001977F9"/>
    <w:rsid w:val="001B0FB6"/>
    <w:rsid w:val="001C43E2"/>
    <w:rsid w:val="00202DF0"/>
    <w:rsid w:val="002103F9"/>
    <w:rsid w:val="002337A7"/>
    <w:rsid w:val="002372BC"/>
    <w:rsid w:val="002450F4"/>
    <w:rsid w:val="00247766"/>
    <w:rsid w:val="0025714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0FF"/>
    <w:rsid w:val="00316B3B"/>
    <w:rsid w:val="00323781"/>
    <w:rsid w:val="00332F98"/>
    <w:rsid w:val="00341B93"/>
    <w:rsid w:val="00343EA9"/>
    <w:rsid w:val="00350EBF"/>
    <w:rsid w:val="00354B87"/>
    <w:rsid w:val="00357132"/>
    <w:rsid w:val="003844BA"/>
    <w:rsid w:val="003855F8"/>
    <w:rsid w:val="00386D9D"/>
    <w:rsid w:val="003932AD"/>
    <w:rsid w:val="003A3319"/>
    <w:rsid w:val="003C0CB2"/>
    <w:rsid w:val="003C777F"/>
    <w:rsid w:val="003E02FD"/>
    <w:rsid w:val="003E3C40"/>
    <w:rsid w:val="003E643A"/>
    <w:rsid w:val="003F475A"/>
    <w:rsid w:val="00410738"/>
    <w:rsid w:val="00411776"/>
    <w:rsid w:val="004215FC"/>
    <w:rsid w:val="004303FB"/>
    <w:rsid w:val="00432960"/>
    <w:rsid w:val="00447465"/>
    <w:rsid w:val="00452851"/>
    <w:rsid w:val="00477D4C"/>
    <w:rsid w:val="004847D1"/>
    <w:rsid w:val="00490307"/>
    <w:rsid w:val="0049369E"/>
    <w:rsid w:val="004B64AB"/>
    <w:rsid w:val="004D2D79"/>
    <w:rsid w:val="004D6767"/>
    <w:rsid w:val="00500C49"/>
    <w:rsid w:val="005142A9"/>
    <w:rsid w:val="0051713E"/>
    <w:rsid w:val="0053191C"/>
    <w:rsid w:val="00537575"/>
    <w:rsid w:val="00552B43"/>
    <w:rsid w:val="00556AA3"/>
    <w:rsid w:val="00566D47"/>
    <w:rsid w:val="00581AB1"/>
    <w:rsid w:val="00590058"/>
    <w:rsid w:val="005A27BC"/>
    <w:rsid w:val="005C68E5"/>
    <w:rsid w:val="005E2159"/>
    <w:rsid w:val="0061426D"/>
    <w:rsid w:val="00620759"/>
    <w:rsid w:val="00621B30"/>
    <w:rsid w:val="0063405F"/>
    <w:rsid w:val="00634EDA"/>
    <w:rsid w:val="006403EA"/>
    <w:rsid w:val="00643D7A"/>
    <w:rsid w:val="00657620"/>
    <w:rsid w:val="00663E60"/>
    <w:rsid w:val="00677483"/>
    <w:rsid w:val="00695743"/>
    <w:rsid w:val="00695A49"/>
    <w:rsid w:val="006964CF"/>
    <w:rsid w:val="00696B48"/>
    <w:rsid w:val="006A3EE9"/>
    <w:rsid w:val="006A7CEB"/>
    <w:rsid w:val="006D675F"/>
    <w:rsid w:val="006E3966"/>
    <w:rsid w:val="006E690A"/>
    <w:rsid w:val="006F718E"/>
    <w:rsid w:val="00700852"/>
    <w:rsid w:val="00711073"/>
    <w:rsid w:val="00713B51"/>
    <w:rsid w:val="007248B1"/>
    <w:rsid w:val="00725E5E"/>
    <w:rsid w:val="00737A4D"/>
    <w:rsid w:val="00756599"/>
    <w:rsid w:val="00756B8E"/>
    <w:rsid w:val="00783D46"/>
    <w:rsid w:val="007853F7"/>
    <w:rsid w:val="00795BAE"/>
    <w:rsid w:val="007A76F4"/>
    <w:rsid w:val="007D0D6C"/>
    <w:rsid w:val="007E732E"/>
    <w:rsid w:val="007F2FE4"/>
    <w:rsid w:val="00812901"/>
    <w:rsid w:val="00823589"/>
    <w:rsid w:val="00857290"/>
    <w:rsid w:val="00857458"/>
    <w:rsid w:val="0088240E"/>
    <w:rsid w:val="00884A2E"/>
    <w:rsid w:val="00894132"/>
    <w:rsid w:val="008A61A6"/>
    <w:rsid w:val="008E4017"/>
    <w:rsid w:val="008F0FDD"/>
    <w:rsid w:val="00905063"/>
    <w:rsid w:val="00905B88"/>
    <w:rsid w:val="0091413A"/>
    <w:rsid w:val="00930550"/>
    <w:rsid w:val="00930583"/>
    <w:rsid w:val="00935DA8"/>
    <w:rsid w:val="00953058"/>
    <w:rsid w:val="0097090F"/>
    <w:rsid w:val="0098412B"/>
    <w:rsid w:val="009936C2"/>
    <w:rsid w:val="009A1BD9"/>
    <w:rsid w:val="009B06FC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A2EBF"/>
    <w:rsid w:val="00AA2FA6"/>
    <w:rsid w:val="00AA5F9D"/>
    <w:rsid w:val="00AA72F4"/>
    <w:rsid w:val="00AB148E"/>
    <w:rsid w:val="00AC0AB9"/>
    <w:rsid w:val="00AD5463"/>
    <w:rsid w:val="00AE0CF5"/>
    <w:rsid w:val="00B16E7B"/>
    <w:rsid w:val="00B224D0"/>
    <w:rsid w:val="00B4231A"/>
    <w:rsid w:val="00B62BBB"/>
    <w:rsid w:val="00BB4B48"/>
    <w:rsid w:val="00BC3E3B"/>
    <w:rsid w:val="00BC5625"/>
    <w:rsid w:val="00BD1077"/>
    <w:rsid w:val="00C04767"/>
    <w:rsid w:val="00C1051B"/>
    <w:rsid w:val="00C12ED3"/>
    <w:rsid w:val="00C16285"/>
    <w:rsid w:val="00C2449B"/>
    <w:rsid w:val="00C24ECD"/>
    <w:rsid w:val="00C3403B"/>
    <w:rsid w:val="00C368F5"/>
    <w:rsid w:val="00C4543F"/>
    <w:rsid w:val="00C642DC"/>
    <w:rsid w:val="00C76DFF"/>
    <w:rsid w:val="00C91BFA"/>
    <w:rsid w:val="00CB755B"/>
    <w:rsid w:val="00CC3831"/>
    <w:rsid w:val="00CE0ADD"/>
    <w:rsid w:val="00CF46EC"/>
    <w:rsid w:val="00CF7905"/>
    <w:rsid w:val="00D11DC1"/>
    <w:rsid w:val="00D30C0A"/>
    <w:rsid w:val="00D604F5"/>
    <w:rsid w:val="00DA6E6A"/>
    <w:rsid w:val="00DB3389"/>
    <w:rsid w:val="00DE57FE"/>
    <w:rsid w:val="00DF7B14"/>
    <w:rsid w:val="00E136F7"/>
    <w:rsid w:val="00E246AD"/>
    <w:rsid w:val="00E55DB1"/>
    <w:rsid w:val="00E62F42"/>
    <w:rsid w:val="00E67B9C"/>
    <w:rsid w:val="00E76263"/>
    <w:rsid w:val="00E974BE"/>
    <w:rsid w:val="00EA5414"/>
    <w:rsid w:val="00EB76CA"/>
    <w:rsid w:val="00ED057C"/>
    <w:rsid w:val="00F045B7"/>
    <w:rsid w:val="00F05534"/>
    <w:rsid w:val="00F43662"/>
    <w:rsid w:val="00F503E9"/>
    <w:rsid w:val="00F6674F"/>
    <w:rsid w:val="00F7411C"/>
    <w:rsid w:val="00F85D01"/>
    <w:rsid w:val="00F94A94"/>
    <w:rsid w:val="00FB0218"/>
    <w:rsid w:val="00FD4897"/>
    <w:rsid w:val="00FE2A0C"/>
    <w:rsid w:val="00FE50C3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354B87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354B87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20615CC2604B5B94978EE26AB1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210A-4FBC-45A5-80A6-9766593BFA06}"/>
      </w:docPartPr>
      <w:docPartBody>
        <w:p w:rsidR="00E170EF" w:rsidRDefault="00D72EF8" w:rsidP="00D72EF8">
          <w:pPr>
            <w:pStyle w:val="1E20615CC2604B5B94978EE26AB15BB8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78A93614E72B4C3C8B6D18F07E6D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18EA-3593-4446-B967-0147EBD0CA6E}"/>
      </w:docPartPr>
      <w:docPartBody>
        <w:p w:rsidR="00852C65" w:rsidRDefault="00852C65" w:rsidP="00852C65">
          <w:pPr>
            <w:pStyle w:val="78A93614E72B4C3C8B6D18F07E6D460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82663"/>
    <w:rsid w:val="00156075"/>
    <w:rsid w:val="001643EA"/>
    <w:rsid w:val="00203B5B"/>
    <w:rsid w:val="002E147D"/>
    <w:rsid w:val="003932AD"/>
    <w:rsid w:val="003F6F2A"/>
    <w:rsid w:val="00406858"/>
    <w:rsid w:val="004242BE"/>
    <w:rsid w:val="00447465"/>
    <w:rsid w:val="004D2D79"/>
    <w:rsid w:val="00565EFA"/>
    <w:rsid w:val="00583A9D"/>
    <w:rsid w:val="006119E8"/>
    <w:rsid w:val="00620759"/>
    <w:rsid w:val="006851A4"/>
    <w:rsid w:val="00710E85"/>
    <w:rsid w:val="007379EF"/>
    <w:rsid w:val="00756599"/>
    <w:rsid w:val="007E1203"/>
    <w:rsid w:val="00800122"/>
    <w:rsid w:val="0081748E"/>
    <w:rsid w:val="00852C65"/>
    <w:rsid w:val="0086716E"/>
    <w:rsid w:val="00935DA8"/>
    <w:rsid w:val="009B285A"/>
    <w:rsid w:val="009E0D9A"/>
    <w:rsid w:val="00A704FD"/>
    <w:rsid w:val="00A8187B"/>
    <w:rsid w:val="00AE6B73"/>
    <w:rsid w:val="00BA42A5"/>
    <w:rsid w:val="00D36ED3"/>
    <w:rsid w:val="00D72EF8"/>
    <w:rsid w:val="00DC6F33"/>
    <w:rsid w:val="00DD4AD1"/>
    <w:rsid w:val="00E14066"/>
    <w:rsid w:val="00E170EF"/>
    <w:rsid w:val="00E5797D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C65"/>
    <w:rPr>
      <w:color w:val="808080"/>
    </w:rPr>
  </w:style>
  <w:style w:type="paragraph" w:customStyle="1" w:styleId="F70EDA51C4A147009E3BF67FD3435BD5">
    <w:name w:val="F70EDA51C4A147009E3BF67FD3435BD5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  <w:style w:type="paragraph" w:customStyle="1" w:styleId="1E20615CC2604B5B94978EE26AB15BB8">
    <w:name w:val="1E20615CC2604B5B94978EE26AB15BB8"/>
    <w:rsid w:val="00D72EF8"/>
  </w:style>
  <w:style w:type="paragraph" w:customStyle="1" w:styleId="78A93614E72B4C3C8B6D18F07E6D4601">
    <w:name w:val="78A93614E72B4C3C8B6D18F07E6D4601"/>
    <w:rsid w:val="00852C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3</TotalTime>
  <Pages>2</Pages>
  <Words>504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Sharon Draper</cp:lastModifiedBy>
  <cp:revision>4</cp:revision>
  <cp:lastPrinted>2012-08-17T07:51:00Z</cp:lastPrinted>
  <dcterms:created xsi:type="dcterms:W3CDTF">2025-01-29T10:02:00Z</dcterms:created>
  <dcterms:modified xsi:type="dcterms:W3CDTF">2025-01-29T10:06:00Z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230eec0d3880ea3a18c4709289a0cb991a652a337b3ebbcb507a82e0c7d11ae4</vt:lpwstr>
  </property>
</Properties>
</file>