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91ACE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19DC3989" w:rsidR="009E7381" w:rsidRPr="00991ACE" w:rsidRDefault="00783D46" w:rsidP="003855F8">
      <w:pPr>
        <w:pStyle w:val="Heading1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D169F8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Senior</w:t>
      </w:r>
      <w:r w:rsidR="00675CA7"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 Engineer, </w:t>
      </w:r>
      <w:r w:rsidR="000B2842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Maritime Structures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253C2EEB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BE2574F" w14:textId="137FE9AA" w:rsidR="003855F8" w:rsidRPr="00991ACE" w:rsidRDefault="00675CA7" w:rsidP="003855F8">
            <w:pPr>
              <w:pStyle w:val="Heading2"/>
              <w:rPr>
                <w:rFonts w:ascii="Epilogue" w:hAnsi="Epilogue" w:cs="Calibri"/>
                <w:sz w:val="28"/>
                <w:szCs w:val="28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Purpose</w:t>
            </w:r>
          </w:p>
        </w:tc>
      </w:tr>
      <w:tr w:rsidR="000B2842" w:rsidRPr="0028243F" w14:paraId="25E82139" w14:textId="77777777" w:rsidTr="00675CA7">
        <w:tc>
          <w:tcPr>
            <w:tcW w:w="2400" w:type="dxa"/>
          </w:tcPr>
          <w:p w14:paraId="7CAA61BD" w14:textId="6FE884AB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Client focus</w:t>
            </w:r>
          </w:p>
        </w:tc>
        <w:tc>
          <w:tcPr>
            <w:tcW w:w="7218" w:type="dxa"/>
          </w:tcPr>
          <w:p w14:paraId="2F7490EA" w14:textId="1E68B765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Maintain strong client relationships in areas that match our business plan and strategic goals.</w:t>
            </w:r>
          </w:p>
        </w:tc>
      </w:tr>
      <w:tr w:rsidR="000B2842" w:rsidRPr="0028243F" w14:paraId="16818D24" w14:textId="77777777" w:rsidTr="00675CA7">
        <w:tc>
          <w:tcPr>
            <w:tcW w:w="2400" w:type="dxa"/>
          </w:tcPr>
          <w:p w14:paraId="70C275C1" w14:textId="37B6DC62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Technical excellence</w:t>
            </w:r>
          </w:p>
        </w:tc>
        <w:tc>
          <w:tcPr>
            <w:tcW w:w="7218" w:type="dxa"/>
          </w:tcPr>
          <w:p w14:paraId="6F2C6DEA" w14:textId="42877BF6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 xml:space="preserve">To support and consolidate the technical excellence in </w:t>
            </w:r>
            <w:r w:rsidR="000510EE">
              <w:rPr>
                <w:rFonts w:ascii="Epilogue" w:hAnsi="Epilogue" w:cs="Calibri"/>
                <w:szCs w:val="20"/>
              </w:rPr>
              <w:t>maritime structures</w:t>
            </w:r>
            <w:r w:rsidRPr="000B2842">
              <w:rPr>
                <w:rFonts w:ascii="Epilogue" w:hAnsi="Epilogue" w:cs="Calibri"/>
                <w:szCs w:val="20"/>
              </w:rPr>
              <w:t xml:space="preserve"> in the </w:t>
            </w:r>
            <w:r w:rsidR="000510EE">
              <w:rPr>
                <w:rFonts w:ascii="Epilogue" w:hAnsi="Epilogue" w:cs="Calibri"/>
                <w:szCs w:val="20"/>
              </w:rPr>
              <w:t>E</w:t>
            </w:r>
            <w:r w:rsidRPr="000B2842">
              <w:rPr>
                <w:rFonts w:ascii="Epilogue" w:hAnsi="Epilogue" w:cs="Calibri"/>
                <w:szCs w:val="20"/>
              </w:rPr>
              <w:t xml:space="preserve">ngineering </w:t>
            </w:r>
            <w:r w:rsidR="000510EE">
              <w:rPr>
                <w:rFonts w:ascii="Epilogue" w:hAnsi="Epilogue" w:cs="Calibri"/>
                <w:szCs w:val="20"/>
              </w:rPr>
              <w:t>G</w:t>
            </w:r>
            <w:r w:rsidRPr="000B2842">
              <w:rPr>
                <w:rFonts w:ascii="Epilogue" w:hAnsi="Epilogue" w:cs="Calibri"/>
                <w:szCs w:val="20"/>
              </w:rPr>
              <w:t>roup and uphold the standard and quality of work that HR Wallingford is recognised worldwide for.</w:t>
            </w:r>
          </w:p>
        </w:tc>
      </w:tr>
      <w:tr w:rsidR="000B2842" w:rsidRPr="0028243F" w14:paraId="1A913E7D" w14:textId="77777777" w:rsidTr="00675CA7">
        <w:tc>
          <w:tcPr>
            <w:tcW w:w="2400" w:type="dxa"/>
          </w:tcPr>
          <w:p w14:paraId="57D1BAFE" w14:textId="6E4AD805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Leadership</w:t>
            </w:r>
          </w:p>
        </w:tc>
        <w:tc>
          <w:tcPr>
            <w:tcW w:w="7218" w:type="dxa"/>
          </w:tcPr>
          <w:p w14:paraId="23FF7752" w14:textId="7369E7E4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the growth of HR Wallingford’s delivery in the global maritime and ports sectors.</w:t>
            </w:r>
          </w:p>
        </w:tc>
      </w:tr>
      <w:tr w:rsidR="000B2842" w:rsidRPr="0028243F" w14:paraId="09FE80BE" w14:textId="77777777" w:rsidTr="00675CA7">
        <w:tc>
          <w:tcPr>
            <w:tcW w:w="2400" w:type="dxa"/>
          </w:tcPr>
          <w:p w14:paraId="6714E00A" w14:textId="7B662DF5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Project delivery</w:t>
            </w:r>
          </w:p>
        </w:tc>
        <w:tc>
          <w:tcPr>
            <w:tcW w:w="7218" w:type="dxa"/>
          </w:tcPr>
          <w:p w14:paraId="26E3BE0B" w14:textId="1E952D13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the successful technical completion of projects to the required timescale.</w:t>
            </w:r>
          </w:p>
        </w:tc>
      </w:tr>
      <w:tr w:rsidR="000B2842" w:rsidRPr="0028243F" w14:paraId="607269E5" w14:textId="77777777" w:rsidTr="00675CA7">
        <w:tc>
          <w:tcPr>
            <w:tcW w:w="2400" w:type="dxa"/>
          </w:tcPr>
          <w:p w14:paraId="4697C47E" w14:textId="41BAFEB2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</w:tcPr>
          <w:p w14:paraId="4759F0A9" w14:textId="79359123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Contribute to well-structured and commercially attractive proposal documents.</w:t>
            </w:r>
          </w:p>
        </w:tc>
      </w:tr>
      <w:tr w:rsidR="000B2842" w:rsidRPr="0028243F" w14:paraId="29C88B3F" w14:textId="77777777" w:rsidTr="00675CA7">
        <w:tc>
          <w:tcPr>
            <w:tcW w:w="2400" w:type="dxa"/>
          </w:tcPr>
          <w:p w14:paraId="1B318414" w14:textId="005B7230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Team building</w:t>
            </w:r>
          </w:p>
        </w:tc>
        <w:tc>
          <w:tcPr>
            <w:tcW w:w="7218" w:type="dxa"/>
          </w:tcPr>
          <w:p w14:paraId="55A4AE88" w14:textId="6E8688B3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 xml:space="preserve">Support the </w:t>
            </w:r>
            <w:r w:rsidR="00EB76BD">
              <w:rPr>
                <w:rFonts w:ascii="Epilogue" w:hAnsi="Epilogue" w:cs="Calibri"/>
                <w:szCs w:val="20"/>
              </w:rPr>
              <w:t>engineering</w:t>
            </w:r>
            <w:r w:rsidRPr="000B2842">
              <w:rPr>
                <w:rFonts w:ascii="Epilogue" w:hAnsi="Epilogue" w:cs="Calibri"/>
                <w:szCs w:val="20"/>
              </w:rPr>
              <w:t xml:space="preserve"> team with the training, development and retention of staff.</w:t>
            </w:r>
          </w:p>
        </w:tc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5E20BD20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63DADB6C" w14:textId="6D6837AC" w:rsidR="003855F8" w:rsidRPr="00991ACE" w:rsidRDefault="00675CA7" w:rsidP="00783D46">
            <w:pPr>
              <w:pStyle w:val="Heading2"/>
              <w:rPr>
                <w:rFonts w:ascii="Epilogue" w:hAnsi="Epilogue" w:cs="Calibri"/>
                <w:sz w:val="24"/>
                <w:szCs w:val="24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Main</w:t>
            </w:r>
            <w:r w:rsidR="003855F8"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 xml:space="preserve"> duties</w:t>
            </w:r>
          </w:p>
        </w:tc>
      </w:tr>
      <w:tr w:rsidR="000B2842" w:rsidRPr="00675CA7" w14:paraId="7E71D053" w14:textId="77777777" w:rsidTr="00675CA7">
        <w:tc>
          <w:tcPr>
            <w:tcW w:w="2400" w:type="dxa"/>
            <w:shd w:val="clear" w:color="auto" w:fill="auto"/>
          </w:tcPr>
          <w:p w14:paraId="2E67703A" w14:textId="0DC1091A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P</w:t>
            </w:r>
            <w:r w:rsidRPr="00991ACE">
              <w:rPr>
                <w:rFonts w:ascii="Epilogue" w:hAnsi="Epilogue" w:cs="Calibri"/>
                <w:szCs w:val="20"/>
              </w:rPr>
              <w:t>roject delivery</w:t>
            </w:r>
          </w:p>
        </w:tc>
        <w:tc>
          <w:tcPr>
            <w:tcW w:w="7218" w:type="dxa"/>
            <w:shd w:val="clear" w:color="auto" w:fill="auto"/>
          </w:tcPr>
          <w:p w14:paraId="367D1C6B" w14:textId="77777777" w:rsidR="000B2842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Act as Project Manager with responsibility for the successful delivery of projects</w:t>
            </w:r>
            <w:r w:rsidR="005F591E">
              <w:rPr>
                <w:rFonts w:ascii="Epilogue" w:hAnsi="Epilogue" w:cs="Calibri"/>
                <w:szCs w:val="20"/>
              </w:rPr>
              <w:t>.</w:t>
            </w:r>
          </w:p>
          <w:p w14:paraId="48EDE438" w14:textId="77777777" w:rsidR="005F591E" w:rsidRDefault="005F591E" w:rsidP="000B2842">
            <w:pPr>
              <w:rPr>
                <w:rFonts w:ascii="Epilogue" w:hAnsi="Epilogue" w:cs="Calibri"/>
                <w:szCs w:val="20"/>
              </w:rPr>
            </w:pPr>
          </w:p>
          <w:p w14:paraId="51492734" w14:textId="0120D05A" w:rsidR="005F591E" w:rsidRPr="00991ACE" w:rsidRDefault="005F591E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Act to ensure technical quality in structural design for the successful delivery of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0B2842" w:rsidRPr="00675CA7" w14:paraId="571341AF" w14:textId="77777777" w:rsidTr="00675CA7">
        <w:tc>
          <w:tcPr>
            <w:tcW w:w="2400" w:type="dxa"/>
            <w:shd w:val="clear" w:color="auto" w:fill="auto"/>
          </w:tcPr>
          <w:p w14:paraId="144991F9" w14:textId="7129F3CE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T</w:t>
            </w:r>
            <w:r w:rsidRPr="00991ACE">
              <w:rPr>
                <w:rFonts w:ascii="Epilogue" w:hAnsi="Epilogue" w:cs="Calibri"/>
                <w:szCs w:val="20"/>
              </w:rPr>
              <w:t>echnical excellence</w:t>
            </w:r>
          </w:p>
        </w:tc>
        <w:tc>
          <w:tcPr>
            <w:tcW w:w="7218" w:type="dxa"/>
            <w:shd w:val="clear" w:color="auto" w:fill="auto"/>
          </w:tcPr>
          <w:p w14:paraId="6571BAAC" w14:textId="05799612" w:rsidR="000B2842" w:rsidRPr="00991ACE" w:rsidRDefault="005F591E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Develop own technical expertise through project work and company research, including internal and external dissemination as appropriate to achieve an agreed level of utilisation across externally and internally funded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0B2842" w:rsidRPr="00675CA7" w14:paraId="0B6348CB" w14:textId="77777777" w:rsidTr="00675CA7">
        <w:tc>
          <w:tcPr>
            <w:tcW w:w="2400" w:type="dxa"/>
            <w:shd w:val="clear" w:color="auto" w:fill="auto"/>
          </w:tcPr>
          <w:p w14:paraId="18CBB151" w14:textId="1A109A98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R</w:t>
            </w:r>
            <w:r w:rsidRPr="00991ACE">
              <w:rPr>
                <w:rFonts w:ascii="Epilogue" w:hAnsi="Epilogue" w:cs="Calibri"/>
                <w:szCs w:val="20"/>
              </w:rPr>
              <w:t>esearch &amp; innovation</w:t>
            </w:r>
          </w:p>
        </w:tc>
        <w:tc>
          <w:tcPr>
            <w:tcW w:w="7218" w:type="dxa"/>
            <w:shd w:val="clear" w:color="auto" w:fill="auto"/>
          </w:tcPr>
          <w:p w14:paraId="703DDFC6" w14:textId="77777777" w:rsidR="005F591E" w:rsidRDefault="005F591E" w:rsidP="005F591E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delivery and dissemination of research projects and technical excellence within the Engineering Group.</w:t>
            </w:r>
          </w:p>
          <w:p w14:paraId="10BE9B81" w14:textId="77777777" w:rsidR="005F591E" w:rsidRDefault="005F591E" w:rsidP="005F591E">
            <w:pPr>
              <w:rPr>
                <w:rFonts w:ascii="Epilogue" w:hAnsi="Epilogue" w:cs="Calibri"/>
                <w:szCs w:val="20"/>
              </w:rPr>
            </w:pPr>
          </w:p>
          <w:p w14:paraId="595E22A0" w14:textId="7B605EFA" w:rsidR="000B2842" w:rsidRPr="00991ACE" w:rsidRDefault="005F591E" w:rsidP="005F591E">
            <w:pPr>
              <w:rPr>
                <w:rFonts w:ascii="Epilogue" w:hAnsi="Epilogue" w:cs="Calibri"/>
                <w:szCs w:val="20"/>
              </w:rPr>
            </w:pPr>
            <w:r w:rsidRPr="00FD2F14">
              <w:rPr>
                <w:rFonts w:ascii="Epilogue" w:hAnsi="Epilogue" w:cs="Calibri"/>
                <w:szCs w:val="20"/>
              </w:rPr>
              <w:t>Apply innovative techniques to support ongoing sustainability within the engineering group and across the company.</w:t>
            </w:r>
          </w:p>
        </w:tc>
      </w:tr>
      <w:tr w:rsidR="000B2842" w:rsidRPr="00675CA7" w14:paraId="2EC301CC" w14:textId="77777777" w:rsidTr="00675CA7">
        <w:tc>
          <w:tcPr>
            <w:tcW w:w="2400" w:type="dxa"/>
            <w:shd w:val="clear" w:color="auto" w:fill="auto"/>
          </w:tcPr>
          <w:p w14:paraId="2484F4DE" w14:textId="5DA78EE2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  <w:shd w:val="clear" w:color="auto" w:fill="auto"/>
          </w:tcPr>
          <w:p w14:paraId="1BB2A079" w14:textId="6073A027" w:rsidR="000B2842" w:rsidRPr="00991ACE" w:rsidRDefault="005F591E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technical business development and participate in the preparation of bid documents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0B2842" w:rsidRPr="00675CA7" w14:paraId="771B66D5" w14:textId="77777777" w:rsidTr="00675CA7">
        <w:tc>
          <w:tcPr>
            <w:tcW w:w="2400" w:type="dxa"/>
            <w:shd w:val="clear" w:color="auto" w:fill="auto"/>
          </w:tcPr>
          <w:p w14:paraId="17DA129B" w14:textId="33422CBA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Staff development</w:t>
            </w:r>
          </w:p>
        </w:tc>
        <w:tc>
          <w:tcPr>
            <w:tcW w:w="7218" w:type="dxa"/>
            <w:shd w:val="clear" w:color="auto" w:fill="auto"/>
          </w:tcPr>
          <w:p w14:paraId="33AFF469" w14:textId="77777777" w:rsidR="005F591E" w:rsidRPr="00991ACE" w:rsidRDefault="005F591E" w:rsidP="005F591E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learning and development (e.g. mentoring) to enable staff to progress both their technical expertise and their professional development.</w:t>
            </w:r>
          </w:p>
          <w:p w14:paraId="4DB74355" w14:textId="77777777" w:rsidR="000B2842" w:rsidRPr="000B2842" w:rsidRDefault="000B2842" w:rsidP="000B2842">
            <w:pPr>
              <w:rPr>
                <w:rFonts w:ascii="Epilogue" w:hAnsi="Epilogue" w:cs="Calibri"/>
                <w:szCs w:val="20"/>
              </w:rPr>
            </w:pPr>
          </w:p>
          <w:p w14:paraId="24088D24" w14:textId="0B584659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 xml:space="preserve">Plan and facilitate technical skills acquisition amongst relevant technical staff to enable sustainable delivery of projects in the </w:t>
            </w:r>
            <w:r w:rsidR="00931D21">
              <w:rPr>
                <w:rFonts w:ascii="Epilogue" w:hAnsi="Epilogue" w:cs="Calibri"/>
                <w:szCs w:val="20"/>
              </w:rPr>
              <w:t>p</w:t>
            </w:r>
            <w:r w:rsidRPr="000B2842">
              <w:rPr>
                <w:rFonts w:ascii="Epilogue" w:hAnsi="Epilogue" w:cs="Calibri"/>
                <w:szCs w:val="20"/>
              </w:rPr>
              <w:t>ort</w:t>
            </w:r>
            <w:r w:rsidR="00931D21">
              <w:rPr>
                <w:rFonts w:ascii="Epilogue" w:hAnsi="Epilogue" w:cs="Calibri"/>
                <w:szCs w:val="20"/>
              </w:rPr>
              <w:t>s and m</w:t>
            </w:r>
            <w:r w:rsidRPr="000B2842">
              <w:rPr>
                <w:rFonts w:ascii="Epilogue" w:hAnsi="Epilogue" w:cs="Calibri"/>
                <w:szCs w:val="20"/>
              </w:rPr>
              <w:t xml:space="preserve">aritime </w:t>
            </w:r>
            <w:r w:rsidR="00931D21">
              <w:rPr>
                <w:rFonts w:ascii="Epilogue" w:hAnsi="Epilogue" w:cs="Calibri"/>
                <w:szCs w:val="20"/>
              </w:rPr>
              <w:t>s</w:t>
            </w:r>
            <w:r w:rsidRPr="000B2842">
              <w:rPr>
                <w:rFonts w:ascii="Epilogue" w:hAnsi="Epilogue" w:cs="Calibri"/>
                <w:szCs w:val="20"/>
              </w:rPr>
              <w:t>ectors.</w:t>
            </w:r>
          </w:p>
        </w:tc>
      </w:tr>
      <w:tr w:rsidR="003855F8" w:rsidRPr="0028243F" w14:paraId="470DC34B" w14:textId="77777777" w:rsidTr="00675CA7">
        <w:sdt>
          <w:sdtPr>
            <w:rPr>
              <w:rFonts w:ascii="Epilogue" w:hAnsi="Epilogue"/>
            </w:rPr>
            <w:id w:val="-1127164910"/>
            <w:lock w:val="sdtLocked"/>
            <w:placeholder>
              <w:docPart w:val="F70EDA51C4A147009E3BF67FD3435BD5"/>
            </w:placeholder>
            <w:showingPlcHdr/>
          </w:sdtPr>
          <w:sdtEndPr/>
          <w:sdtContent>
            <w:tc>
              <w:tcPr>
                <w:tcW w:w="9618" w:type="dxa"/>
                <w:gridSpan w:val="2"/>
              </w:tcPr>
              <w:p w14:paraId="25E115CB" w14:textId="3CE8EE7C" w:rsidR="003855F8" w:rsidRPr="00991ACE" w:rsidRDefault="000B2842" w:rsidP="0060162C">
                <w:pPr>
                  <w:rPr>
                    <w:rFonts w:ascii="Epilogue" w:hAnsi="Epilogue" w:cs="Calibri"/>
                    <w:sz w:val="22"/>
                  </w:rPr>
                </w:pPr>
                <w:r w:rsidRPr="00AC6B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8861AB" w14:textId="5C8303C9" w:rsidR="005F591E" w:rsidRDefault="005F591E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29352E95" w14:textId="77777777" w:rsidR="005F591E" w:rsidRDefault="005F591E">
      <w:pPr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br w:type="page"/>
      </w:r>
    </w:p>
    <w:p w14:paraId="46058318" w14:textId="77777777" w:rsidR="003C777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1B1D03C8" w14:textId="77777777" w:rsidR="005F591E" w:rsidRPr="0028243F" w:rsidRDefault="005F591E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Group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0EE8A08" w:rsidR="006A7CEB" w:rsidRPr="00991ACE" w:rsidRDefault="00BD6C19" w:rsidP="003A331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991ACE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Engineering</w:t>
                </w:r>
                <w:r w:rsidR="007E732E" w:rsidRPr="00991ACE">
                  <w:rPr>
                    <w:rStyle w:val="NoSpacingChar"/>
                    <w:rFonts w:ascii="Epilogue" w:hAnsi="Epilogue"/>
                    <w:szCs w:val="20"/>
                  </w:rPr>
                  <w:t xml:space="preserve"> 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Reports to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sdt>
              <w:sdtPr>
                <w:rPr>
                  <w:rStyle w:val="NoSpacingChar"/>
                  <w:rFonts w:ascii="Epilogue" w:hAnsi="Epilogue" w:cs="Calibri"/>
                  <w:color w:val="auto"/>
                  <w:szCs w:val="20"/>
                </w:rPr>
                <w:id w:val="-1720042630"/>
                <w:placeholder>
                  <w:docPart w:val="C1ACCA4667904850B5890111484973FA"/>
                </w:placeholder>
              </w:sdtPr>
              <w:sdtEndPr>
                <w:rPr>
                  <w:rStyle w:val="NoSpacingChar"/>
                  <w:rFonts w:asciiTheme="minorHAnsi" w:hAnsiTheme="minorHAnsi" w:cstheme="minorBidi"/>
                  <w:szCs w:val="22"/>
                </w:rPr>
              </w:sdtEndPr>
              <w:sdtContent>
                <w:tc>
                  <w:tcPr>
                    <w:tcW w:w="5902" w:type="dxa"/>
                    <w:shd w:val="clear" w:color="auto" w:fill="FFFFFF" w:themeFill="background1"/>
                  </w:tcPr>
                  <w:p w14:paraId="4802989E" w14:textId="086FE32E" w:rsidR="006A7CEB" w:rsidRPr="00991ACE" w:rsidRDefault="000B2842" w:rsidP="009A1BD9">
                    <w:pPr>
                      <w:pStyle w:val="NoSpacing"/>
                      <w:rPr>
                        <w:rFonts w:ascii="Epilogue" w:hAnsi="Epilogue" w:cs="Calibri"/>
                        <w:color w:val="auto"/>
                        <w:szCs w:val="20"/>
                      </w:rPr>
                    </w:pPr>
                    <w:r w:rsidRPr="00FE0915">
                      <w:rPr>
                        <w:rStyle w:val="NoSpacingChar"/>
                        <w:color w:val="auto"/>
                      </w:rPr>
                      <w:t>Principal Engineer</w:t>
                    </w:r>
                    <w:r>
                      <w:rPr>
                        <w:rStyle w:val="NoSpacingChar"/>
                        <w:color w:val="auto"/>
                      </w:rPr>
                      <w:t>, Maritime Structures</w:t>
                    </w:r>
                  </w:p>
                </w:tc>
              </w:sdtContent>
            </w:sdt>
          </w:sdtContent>
        </w:sdt>
      </w:tr>
      <w:tr w:rsidR="001341B3" w:rsidRPr="0028243F" w14:paraId="764C1AD5" w14:textId="77777777" w:rsidTr="00991ACE">
        <w:trPr>
          <w:trHeight w:val="16"/>
        </w:trPr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991ACE" w:rsidRDefault="001341B3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991ACE" w:rsidRDefault="001341B3" w:rsidP="006A7CEB">
            <w:pPr>
              <w:pStyle w:val="NoSpacing"/>
              <w:rPr>
                <w:rStyle w:val="NoSpacingChar"/>
                <w:rFonts w:ascii="Epilogue" w:hAnsi="Epilogue" w:cs="Calibri"/>
                <w:szCs w:val="20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991ACE" w:rsidRDefault="00F05534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Date agreed</w:t>
            </w:r>
          </w:p>
        </w:tc>
        <w:sdt>
          <w:sdtPr>
            <w:rPr>
              <w:rStyle w:val="NoSpacingChar"/>
              <w:rFonts w:ascii="Epilogue" w:hAnsi="Epilogue" w:cs="Calibri"/>
              <w:szCs w:val="20"/>
            </w:rPr>
            <w:id w:val="-2134693878"/>
            <w:placeholder>
              <w:docPart w:val="A636E7507DB942CD9F22B9A093A520CB"/>
            </w:placeholder>
          </w:sdtPr>
          <w:sdtEndPr>
            <w:rPr>
              <w:rStyle w:val="NoSpacingChar"/>
            </w:rPr>
          </w:sdtEndPr>
          <w:sdtContent>
            <w:sdt>
              <w:sdtPr>
                <w:rPr>
                  <w:rStyle w:val="NoSpacingChar"/>
                  <w:rFonts w:ascii="Epilogue" w:hAnsi="Epilogue" w:cs="Calibri"/>
                  <w:szCs w:val="20"/>
                </w:rPr>
                <w:id w:val="-977835742"/>
                <w:placeholder>
                  <w:docPart w:val="90F77A6CEA994EE89A1248DDE70B6503"/>
                </w:placeholder>
              </w:sdtPr>
              <w:sdtEndPr>
                <w:rPr>
                  <w:rStyle w:val="NoSpacingChar"/>
                  <w:rFonts w:asciiTheme="minorHAnsi" w:hAnsiTheme="minorHAnsi" w:cstheme="minorBidi"/>
                  <w:color w:val="auto"/>
                  <w:szCs w:val="22"/>
                </w:rPr>
              </w:sdtEndPr>
              <w:sdtContent>
                <w:tc>
                  <w:tcPr>
                    <w:tcW w:w="5902" w:type="dxa"/>
                    <w:shd w:val="clear" w:color="auto" w:fill="FFFFFF" w:themeFill="background1"/>
                  </w:tcPr>
                  <w:p w14:paraId="3A4BC292" w14:textId="4ACFC264" w:rsidR="006A7CEB" w:rsidRPr="00991ACE" w:rsidRDefault="000B2842" w:rsidP="006A7CEB">
                    <w:pPr>
                      <w:pStyle w:val="NoSpacing"/>
                      <w:rPr>
                        <w:rFonts w:ascii="Epilogue" w:hAnsi="Epilogue" w:cs="Calibri"/>
                        <w:szCs w:val="20"/>
                      </w:rPr>
                    </w:pPr>
                    <w:r>
                      <w:rPr>
                        <w:rStyle w:val="NoSpacingChar"/>
                        <w:color w:val="auto"/>
                      </w:rPr>
                      <w:t>J</w:t>
                    </w:r>
                    <w:r>
                      <w:rPr>
                        <w:rStyle w:val="NoSpacingChar"/>
                      </w:rPr>
                      <w:t>uly</w:t>
                    </w:r>
                    <w:r w:rsidRPr="00FE0915">
                      <w:rPr>
                        <w:rStyle w:val="NoSpacingChar"/>
                        <w:color w:val="auto"/>
                      </w:rPr>
                      <w:t xml:space="preserve"> 2024</w:t>
                    </w:r>
                  </w:p>
                </w:tc>
              </w:sdtContent>
            </w:sdt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BCC2A" w14:textId="77777777" w:rsidR="00D1265E" w:rsidRDefault="00D1265E" w:rsidP="00700852">
      <w:pPr>
        <w:spacing w:line="240" w:lineRule="auto"/>
      </w:pPr>
      <w:r>
        <w:separator/>
      </w:r>
    </w:p>
  </w:endnote>
  <w:endnote w:type="continuationSeparator" w:id="0">
    <w:p w14:paraId="5451E422" w14:textId="77777777" w:rsidR="00D1265E" w:rsidRDefault="00D1265E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1D4D" w14:textId="77777777" w:rsidR="00D1265E" w:rsidRDefault="00D1265E" w:rsidP="00700852">
      <w:pPr>
        <w:spacing w:line="240" w:lineRule="auto"/>
      </w:pPr>
      <w:r>
        <w:separator/>
      </w:r>
    </w:p>
  </w:footnote>
  <w:footnote w:type="continuationSeparator" w:id="0">
    <w:p w14:paraId="6586D625" w14:textId="77777777" w:rsidR="00D1265E" w:rsidRDefault="00D1265E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2C1"/>
    <w:multiLevelType w:val="hybridMultilevel"/>
    <w:tmpl w:val="2A4C258C"/>
    <w:lvl w:ilvl="0" w:tplc="DE2E2F6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7"/>
  </w:num>
  <w:num w:numId="5" w16cid:durableId="1995638896">
    <w:abstractNumId w:val="7"/>
  </w:num>
  <w:num w:numId="6" w16cid:durableId="1598489764">
    <w:abstractNumId w:val="7"/>
  </w:num>
  <w:num w:numId="7" w16cid:durableId="2146116824">
    <w:abstractNumId w:val="19"/>
  </w:num>
  <w:num w:numId="8" w16cid:durableId="1841431654">
    <w:abstractNumId w:val="19"/>
  </w:num>
  <w:num w:numId="9" w16cid:durableId="1140462663">
    <w:abstractNumId w:val="19"/>
  </w:num>
  <w:num w:numId="10" w16cid:durableId="148251299">
    <w:abstractNumId w:val="16"/>
  </w:num>
  <w:num w:numId="11" w16cid:durableId="767308273">
    <w:abstractNumId w:val="12"/>
  </w:num>
  <w:num w:numId="12" w16cid:durableId="339281564">
    <w:abstractNumId w:val="12"/>
  </w:num>
  <w:num w:numId="13" w16cid:durableId="2064057234">
    <w:abstractNumId w:val="12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7"/>
  </w:num>
  <w:num w:numId="18" w16cid:durableId="880746596">
    <w:abstractNumId w:val="7"/>
  </w:num>
  <w:num w:numId="19" w16cid:durableId="212469478">
    <w:abstractNumId w:val="7"/>
  </w:num>
  <w:num w:numId="20" w16cid:durableId="1513841959">
    <w:abstractNumId w:val="19"/>
  </w:num>
  <w:num w:numId="21" w16cid:durableId="619729451">
    <w:abstractNumId w:val="19"/>
  </w:num>
  <w:num w:numId="22" w16cid:durableId="1399785065">
    <w:abstractNumId w:val="19"/>
  </w:num>
  <w:num w:numId="23" w16cid:durableId="934168828">
    <w:abstractNumId w:val="16"/>
  </w:num>
  <w:num w:numId="24" w16cid:durableId="344869665">
    <w:abstractNumId w:val="11"/>
  </w:num>
  <w:num w:numId="25" w16cid:durableId="2015915758">
    <w:abstractNumId w:val="11"/>
  </w:num>
  <w:num w:numId="26" w16cid:durableId="1669747883">
    <w:abstractNumId w:val="11"/>
  </w:num>
  <w:num w:numId="27" w16cid:durableId="1899441591">
    <w:abstractNumId w:val="7"/>
  </w:num>
  <w:num w:numId="28" w16cid:durableId="926767972">
    <w:abstractNumId w:val="7"/>
  </w:num>
  <w:num w:numId="29" w16cid:durableId="350573613">
    <w:abstractNumId w:val="7"/>
  </w:num>
  <w:num w:numId="30" w16cid:durableId="908151251">
    <w:abstractNumId w:val="7"/>
  </w:num>
  <w:num w:numId="31" w16cid:durableId="1301500647">
    <w:abstractNumId w:val="7"/>
  </w:num>
  <w:num w:numId="32" w16cid:durableId="984702788">
    <w:abstractNumId w:val="7"/>
  </w:num>
  <w:num w:numId="33" w16cid:durableId="1134836692">
    <w:abstractNumId w:val="6"/>
  </w:num>
  <w:num w:numId="34" w16cid:durableId="1812214046">
    <w:abstractNumId w:val="15"/>
  </w:num>
  <w:num w:numId="35" w16cid:durableId="379675021">
    <w:abstractNumId w:val="4"/>
  </w:num>
  <w:num w:numId="36" w16cid:durableId="941449400">
    <w:abstractNumId w:val="14"/>
  </w:num>
  <w:num w:numId="37" w16cid:durableId="1725249665">
    <w:abstractNumId w:val="9"/>
  </w:num>
  <w:num w:numId="38" w16cid:durableId="1638022789">
    <w:abstractNumId w:val="18"/>
  </w:num>
  <w:num w:numId="39" w16cid:durableId="1720401188">
    <w:abstractNumId w:val="3"/>
  </w:num>
  <w:num w:numId="40" w16cid:durableId="1479566102">
    <w:abstractNumId w:val="3"/>
  </w:num>
  <w:num w:numId="41" w16cid:durableId="1541939689">
    <w:abstractNumId w:val="5"/>
  </w:num>
  <w:num w:numId="42" w16cid:durableId="46489669">
    <w:abstractNumId w:val="1"/>
  </w:num>
  <w:num w:numId="43" w16cid:durableId="672873733">
    <w:abstractNumId w:val="10"/>
  </w:num>
  <w:num w:numId="44" w16cid:durableId="1527986694">
    <w:abstractNumId w:val="17"/>
  </w:num>
  <w:num w:numId="45" w16cid:durableId="2126927159">
    <w:abstractNumId w:val="13"/>
  </w:num>
  <w:num w:numId="46" w16cid:durableId="429283267">
    <w:abstractNumId w:val="8"/>
  </w:num>
  <w:num w:numId="47" w16cid:durableId="137156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3331F"/>
    <w:rsid w:val="000423F2"/>
    <w:rsid w:val="000510EE"/>
    <w:rsid w:val="00065A39"/>
    <w:rsid w:val="00066D16"/>
    <w:rsid w:val="00073F75"/>
    <w:rsid w:val="00095276"/>
    <w:rsid w:val="000B2842"/>
    <w:rsid w:val="000B7C3C"/>
    <w:rsid w:val="000D441F"/>
    <w:rsid w:val="000E1535"/>
    <w:rsid w:val="000E69F1"/>
    <w:rsid w:val="000E77A8"/>
    <w:rsid w:val="000F1A56"/>
    <w:rsid w:val="00100FDD"/>
    <w:rsid w:val="00116626"/>
    <w:rsid w:val="001206C1"/>
    <w:rsid w:val="00123107"/>
    <w:rsid w:val="001315BC"/>
    <w:rsid w:val="001341B3"/>
    <w:rsid w:val="00136673"/>
    <w:rsid w:val="001540B8"/>
    <w:rsid w:val="00157DEB"/>
    <w:rsid w:val="001636CC"/>
    <w:rsid w:val="00174F83"/>
    <w:rsid w:val="001827FF"/>
    <w:rsid w:val="001977F9"/>
    <w:rsid w:val="002103F9"/>
    <w:rsid w:val="002337A7"/>
    <w:rsid w:val="002372BC"/>
    <w:rsid w:val="002450F4"/>
    <w:rsid w:val="00247766"/>
    <w:rsid w:val="00257147"/>
    <w:rsid w:val="00263077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16B3B"/>
    <w:rsid w:val="00323781"/>
    <w:rsid w:val="00332F98"/>
    <w:rsid w:val="00341B93"/>
    <w:rsid w:val="00343EA9"/>
    <w:rsid w:val="00350EBF"/>
    <w:rsid w:val="00357132"/>
    <w:rsid w:val="003855F8"/>
    <w:rsid w:val="00386D9D"/>
    <w:rsid w:val="003A3319"/>
    <w:rsid w:val="003A6432"/>
    <w:rsid w:val="003C0CB2"/>
    <w:rsid w:val="003C777F"/>
    <w:rsid w:val="003E02FD"/>
    <w:rsid w:val="003E3C40"/>
    <w:rsid w:val="003F475A"/>
    <w:rsid w:val="00410738"/>
    <w:rsid w:val="00411776"/>
    <w:rsid w:val="004303FB"/>
    <w:rsid w:val="00432960"/>
    <w:rsid w:val="00452851"/>
    <w:rsid w:val="00477D4C"/>
    <w:rsid w:val="0049369E"/>
    <w:rsid w:val="004B64AB"/>
    <w:rsid w:val="00500C49"/>
    <w:rsid w:val="005142A9"/>
    <w:rsid w:val="0051713E"/>
    <w:rsid w:val="00537575"/>
    <w:rsid w:val="00563930"/>
    <w:rsid w:val="00566D47"/>
    <w:rsid w:val="00581AB1"/>
    <w:rsid w:val="00590058"/>
    <w:rsid w:val="005C68E5"/>
    <w:rsid w:val="005E2159"/>
    <w:rsid w:val="005F591E"/>
    <w:rsid w:val="0060162C"/>
    <w:rsid w:val="0061426D"/>
    <w:rsid w:val="0063405F"/>
    <w:rsid w:val="00634EDA"/>
    <w:rsid w:val="006403EA"/>
    <w:rsid w:val="00643D7A"/>
    <w:rsid w:val="00657620"/>
    <w:rsid w:val="00663E60"/>
    <w:rsid w:val="00675CA7"/>
    <w:rsid w:val="00677483"/>
    <w:rsid w:val="00695743"/>
    <w:rsid w:val="00695A49"/>
    <w:rsid w:val="006964CF"/>
    <w:rsid w:val="00696B48"/>
    <w:rsid w:val="006A7CEB"/>
    <w:rsid w:val="006D675F"/>
    <w:rsid w:val="006E3966"/>
    <w:rsid w:val="00700852"/>
    <w:rsid w:val="00711073"/>
    <w:rsid w:val="00725E5E"/>
    <w:rsid w:val="00737A4D"/>
    <w:rsid w:val="00756B8E"/>
    <w:rsid w:val="00783D46"/>
    <w:rsid w:val="007853F7"/>
    <w:rsid w:val="00795BAE"/>
    <w:rsid w:val="007A76F4"/>
    <w:rsid w:val="007E732E"/>
    <w:rsid w:val="007F2FE4"/>
    <w:rsid w:val="00812901"/>
    <w:rsid w:val="00823589"/>
    <w:rsid w:val="0085481B"/>
    <w:rsid w:val="00857290"/>
    <w:rsid w:val="00857458"/>
    <w:rsid w:val="0088240E"/>
    <w:rsid w:val="00884A2E"/>
    <w:rsid w:val="008A3D29"/>
    <w:rsid w:val="008A61A6"/>
    <w:rsid w:val="008E4017"/>
    <w:rsid w:val="00905063"/>
    <w:rsid w:val="00905B88"/>
    <w:rsid w:val="0090729B"/>
    <w:rsid w:val="0091413A"/>
    <w:rsid w:val="00930583"/>
    <w:rsid w:val="00931D21"/>
    <w:rsid w:val="00953058"/>
    <w:rsid w:val="0097090F"/>
    <w:rsid w:val="00991ACE"/>
    <w:rsid w:val="009A1BD9"/>
    <w:rsid w:val="009B6364"/>
    <w:rsid w:val="009C04CF"/>
    <w:rsid w:val="009D33A9"/>
    <w:rsid w:val="009E5EB7"/>
    <w:rsid w:val="009E7381"/>
    <w:rsid w:val="00A017D2"/>
    <w:rsid w:val="00A079EE"/>
    <w:rsid w:val="00A133DA"/>
    <w:rsid w:val="00A21C36"/>
    <w:rsid w:val="00A32916"/>
    <w:rsid w:val="00A35854"/>
    <w:rsid w:val="00A41D8D"/>
    <w:rsid w:val="00A44079"/>
    <w:rsid w:val="00A63E4F"/>
    <w:rsid w:val="00AA2FA6"/>
    <w:rsid w:val="00AA5F9D"/>
    <w:rsid w:val="00AA72F4"/>
    <w:rsid w:val="00AB148E"/>
    <w:rsid w:val="00AC0AB9"/>
    <w:rsid w:val="00AC0BCA"/>
    <w:rsid w:val="00AD5463"/>
    <w:rsid w:val="00AE0CF5"/>
    <w:rsid w:val="00B374E0"/>
    <w:rsid w:val="00BB4B48"/>
    <w:rsid w:val="00BC3E3B"/>
    <w:rsid w:val="00BC5625"/>
    <w:rsid w:val="00BD6C19"/>
    <w:rsid w:val="00C04767"/>
    <w:rsid w:val="00C16285"/>
    <w:rsid w:val="00C2449B"/>
    <w:rsid w:val="00C24ECD"/>
    <w:rsid w:val="00C3403B"/>
    <w:rsid w:val="00C368F5"/>
    <w:rsid w:val="00C76DFF"/>
    <w:rsid w:val="00C91BFA"/>
    <w:rsid w:val="00CB755B"/>
    <w:rsid w:val="00CF46EC"/>
    <w:rsid w:val="00CF7905"/>
    <w:rsid w:val="00D1265E"/>
    <w:rsid w:val="00D169F8"/>
    <w:rsid w:val="00D30C0A"/>
    <w:rsid w:val="00D604F5"/>
    <w:rsid w:val="00DA6E6A"/>
    <w:rsid w:val="00DB3389"/>
    <w:rsid w:val="00DF7B14"/>
    <w:rsid w:val="00E136F7"/>
    <w:rsid w:val="00E246AD"/>
    <w:rsid w:val="00E512E0"/>
    <w:rsid w:val="00E55DB1"/>
    <w:rsid w:val="00E62F42"/>
    <w:rsid w:val="00E67B9C"/>
    <w:rsid w:val="00E974BE"/>
    <w:rsid w:val="00EB76BD"/>
    <w:rsid w:val="00EC522A"/>
    <w:rsid w:val="00F045B7"/>
    <w:rsid w:val="00F05534"/>
    <w:rsid w:val="00F503E9"/>
    <w:rsid w:val="00F6674F"/>
    <w:rsid w:val="00F7411C"/>
    <w:rsid w:val="00F85D01"/>
    <w:rsid w:val="00FB0218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1E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ACCA4667904850B58901114849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33A9-D62E-4BD0-8E0A-E3012117C780}"/>
      </w:docPartPr>
      <w:docPartBody>
        <w:p w:rsidR="000971F8" w:rsidRDefault="00B15D16" w:rsidP="00B15D16">
          <w:pPr>
            <w:pStyle w:val="C1ACCA4667904850B5890111484973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0F77A6CEA994EE89A1248DDE70B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A94C-B2EE-414F-BFA9-7D35D5151076}"/>
      </w:docPartPr>
      <w:docPartBody>
        <w:p w:rsidR="000971F8" w:rsidRDefault="00B15D16" w:rsidP="00B15D16">
          <w:pPr>
            <w:pStyle w:val="90F77A6CEA994EE89A1248DDE70B650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3331F"/>
    <w:rsid w:val="00082663"/>
    <w:rsid w:val="000971F8"/>
    <w:rsid w:val="001540B8"/>
    <w:rsid w:val="00156075"/>
    <w:rsid w:val="001643EA"/>
    <w:rsid w:val="00203B5B"/>
    <w:rsid w:val="00301C62"/>
    <w:rsid w:val="003F6F2A"/>
    <w:rsid w:val="00406858"/>
    <w:rsid w:val="00563930"/>
    <w:rsid w:val="00565EFA"/>
    <w:rsid w:val="00583A9D"/>
    <w:rsid w:val="006119E8"/>
    <w:rsid w:val="00672CE7"/>
    <w:rsid w:val="006E3674"/>
    <w:rsid w:val="00710E85"/>
    <w:rsid w:val="007E1203"/>
    <w:rsid w:val="0081748E"/>
    <w:rsid w:val="0086716E"/>
    <w:rsid w:val="0090729B"/>
    <w:rsid w:val="009E0D9A"/>
    <w:rsid w:val="00A704FD"/>
    <w:rsid w:val="00B15D16"/>
    <w:rsid w:val="00BA42A5"/>
    <w:rsid w:val="00C84FED"/>
    <w:rsid w:val="00D36ED3"/>
    <w:rsid w:val="00DC6F33"/>
    <w:rsid w:val="00DD4AD1"/>
    <w:rsid w:val="00E14066"/>
    <w:rsid w:val="00E81610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D16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C1ACCA4667904850B5890111484973FA">
    <w:name w:val="C1ACCA4667904850B5890111484973FA"/>
    <w:rsid w:val="00B15D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77A6CEA994EE89A1248DDE70B6503">
    <w:name w:val="90F77A6CEA994EE89A1248DDE70B6503"/>
    <w:rsid w:val="00B15D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</TotalTime>
  <Pages>2</Pages>
  <Words>276</Words>
  <Characters>1808</Characters>
  <Application>Microsoft Office Word</Application>
  <DocSecurity>4</DocSecurity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Sonia Tyack</cp:lastModifiedBy>
  <cp:revision>2</cp:revision>
  <cp:lastPrinted>2012-08-17T07:51:00Z</cp:lastPrinted>
  <dcterms:created xsi:type="dcterms:W3CDTF">2024-08-02T16:02:00Z</dcterms:created>
  <dcterms:modified xsi:type="dcterms:W3CDTF">2024-08-02T16:02:00Z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a1663d227f87e917b0c17fb11c6a356cde9853a5ad7bb733be5ce30f7cc03185</vt:lpwstr>
  </property>
</Properties>
</file>